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FB018">
      <w:pPr>
        <w:spacing w:line="240" w:lineRule="auto"/>
        <w:jc w:val="center"/>
        <w:rPr>
          <w:rFonts w:ascii="方正黑体_GBK" w:hAnsi="方正黑体_GBK" w:eastAsia="方正黑体_GBK"/>
          <w:b/>
          <w:bCs/>
          <w:vanish w:val="0"/>
          <w:kern w:val="0"/>
          <w:sz w:val="36"/>
          <w:szCs w:val="20"/>
        </w:rPr>
      </w:pPr>
      <w:r>
        <w:rPr>
          <w:rFonts w:hint="eastAsia" w:ascii="方正黑体_GBK" w:hAnsi="方正黑体_GBK" w:eastAsia="方正黑体_GBK"/>
          <w:b/>
          <w:bCs/>
          <w:vanish w:val="0"/>
          <w:kern w:val="0"/>
          <w:sz w:val="36"/>
          <w:szCs w:val="20"/>
        </w:rPr>
        <w:t>特别提示页</w:t>
      </w:r>
    </w:p>
    <w:p w14:paraId="0FD065C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★关于理财产品与存款产品的提示</w:t>
      </w:r>
    </w:p>
    <w:p w14:paraId="60BE28A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理财产品与存款存在明显区别，理财非存款、产品有风险、投资须谨慎。</w:t>
      </w:r>
    </w:p>
    <w:p w14:paraId="3B4492F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★关于理财产品的过往业绩的提示</w:t>
      </w:r>
    </w:p>
    <w:p w14:paraId="50BE010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vanish w:val="0"/>
          <w:kern w:val="0"/>
          <w:sz w:val="20"/>
          <w:szCs w:val="20"/>
        </w:rPr>
        <w:t>理财产品过往业绩不代表其未来表现，不等于理财产品实际受益，投资须谨慎。</w:t>
      </w:r>
    </w:p>
    <w:p w14:paraId="4A3AF78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★关于理财产品的业绩比较基准和业绩报酬计提基准的提示</w:t>
      </w:r>
    </w:p>
    <w:p w14:paraId="5D7063B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本产品的业绩比较基准或业绩报酬计提基准等类似表述不代表投资者可能获得的实际收益，亦不构成产品管理人对本产品的任何收益承诺，仅供投资者进行投资决定时参考。</w:t>
      </w:r>
    </w:p>
    <w:p w14:paraId="02D87C8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★关于理财产品不保证本金和收益的提示</w:t>
      </w:r>
    </w:p>
    <w:p w14:paraId="03935D8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14:paraId="039881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★关于销售文件的组成和编制的提示</w:t>
      </w:r>
    </w:p>
    <w:p w14:paraId="3891D3A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14:paraId="69240CF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★关于投资者适当性的提示</w:t>
      </w:r>
    </w:p>
    <w:p w14:paraId="649FBC8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14:paraId="6522574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★关于投资者信息的提示</w:t>
      </w:r>
    </w:p>
    <w:p w14:paraId="74114FB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投资者在此同意并授权，产品管理人可根据监管要求和合同约定，为理财产品登记、反洗钱工作等需要，向登记部门或监管机构及相关方提供投资者身份信息、持仓信息等相关信息。</w:t>
      </w:r>
    </w:p>
    <w:p w14:paraId="2029645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★关于理财产品信息披露的提示</w:t>
      </w:r>
    </w:p>
    <w:p w14:paraId="4697A7D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在购买本产品后，投资者应随时关注该理财产品的信息披露情况，及时获取相关信息。</w:t>
      </w:r>
    </w:p>
    <w:p w14:paraId="453F5D7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★关于理财产品咨询的提示</w:t>
      </w:r>
    </w:p>
    <w:p w14:paraId="1F7E96D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投资者对本理财产品及销售文件的内容有任何疑问，请向产品管理人或销售机构咨询。</w:t>
      </w:r>
    </w:p>
    <w:p w14:paraId="37AEA6B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★关于65周岁以上投资者购买的提示</w:t>
      </w:r>
    </w:p>
    <w:p w14:paraId="5DBDE868">
      <w:pPr>
        <w:keepNext w:val="0"/>
        <w:keepLines w:val="0"/>
        <w:pageBreakBefore w:val="0"/>
        <w:widowControl/>
        <w:suppressLineNumbers w:val="0"/>
        <w:suppressAutoHyphens w:val="0"/>
        <w:spacing w:line="240" w:lineRule="auto"/>
        <w:ind w:firstLine="400" w:firstLineChars="200"/>
        <w:jc w:val="left"/>
        <w:rPr>
          <w:rFonts w:ascii="方正黑体_GBK" w:hAnsi="方正黑体_GBK" w:eastAsia="方正黑体_GBK"/>
          <w:b/>
          <w:bCs/>
          <w:vanish w:val="0"/>
          <w:kern w:val="0"/>
          <w:sz w:val="36"/>
          <w:szCs w:val="36"/>
        </w:rPr>
      </w:pPr>
      <w:r>
        <w:rPr>
          <w:rFonts w:hint="eastAsia" w:ascii="方正黑体_GBK" w:hAnsi="方正黑体_GBK" w:eastAsia="方正黑体_GBK"/>
          <w:vanish w:val="0"/>
          <w:kern w:val="0"/>
          <w:sz w:val="20"/>
          <w:szCs w:val="20"/>
        </w:rPr>
        <w:t>风险等级为（中）高级的理财产品，请65周岁以上的投资者谨慎购买，产品风险情况详见风险揭示书。</w:t>
      </w:r>
      <w:r>
        <w:rPr>
          <w:rFonts w:ascii="方正黑体_GBK" w:hAnsi="方正黑体_GBK" w:eastAsia="方正黑体_GBK"/>
          <w:b/>
          <w:bCs/>
          <w:sz w:val="36"/>
          <w:szCs w:val="20"/>
          <w:lang w:val="en-US" w:eastAsia="zh-CN"/>
        </w:rPr>
        <w:br w:type="page"/>
      </w:r>
      <w:bookmarkStart w:id="0" w:name="_GoBack"/>
      <w:bookmarkEnd w:id="0"/>
    </w:p>
    <w:p w14:paraId="0B046EE7">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b/>
          <w:bCs/>
          <w:vanish w:val="0"/>
          <w:kern w:val="0"/>
          <w:sz w:val="36"/>
          <w:szCs w:val="36"/>
        </w:rPr>
      </w:pPr>
      <w:r>
        <w:rPr>
          <w:rFonts w:hint="eastAsia" w:ascii="方正黑体_GBK" w:hAnsi="方正黑体_GBK" w:eastAsia="方正黑体_GBK"/>
          <w:b/>
          <w:bCs/>
          <w:vanish w:val="0"/>
          <w:kern w:val="0"/>
          <w:sz w:val="36"/>
          <w:szCs w:val="36"/>
        </w:rPr>
        <w:t>理财产品风险揭示书</w:t>
      </w:r>
    </w:p>
    <w:p w14:paraId="53DA4855">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vanish w:val="0"/>
          <w:color w:val="3D3D3D"/>
          <w:kern w:val="0"/>
          <w:sz w:val="22"/>
          <w:szCs w:val="22"/>
        </w:rPr>
      </w:pP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cs="Times New Roman"/>
          <w:b/>
          <w:bCs/>
          <w:i/>
          <w:iCs/>
          <w:vanish w:val="0"/>
          <w:kern w:val="0"/>
          <w:sz w:val="36"/>
          <w:szCs w:val="36"/>
          <w:u w:val="single"/>
        </w:rPr>
        <w:t>理财非存款、产品有风险、投资须谨慎</w:t>
      </w: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b/>
          <w:bCs/>
          <w:i/>
          <w:iCs/>
          <w:vanish w:val="0"/>
          <w:kern w:val="0"/>
          <w:sz w:val="36"/>
          <w:szCs w:val="36"/>
          <w:u w:val="single"/>
        </w:rPr>
        <w:t>！</w:t>
      </w:r>
    </w:p>
    <w:p w14:paraId="408C1E6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hint="eastAsia" w:ascii="方正黑体_GBK" w:hAnsi="方正黑体_GBK" w:eastAsia="方正黑体_GBK" w:cs="Times New Roman"/>
          <w:b/>
          <w:bCs w:val="0"/>
          <w:vanish w:val="0"/>
          <w:color w:val="3D3D3D"/>
          <w:kern w:val="0"/>
          <w:sz w:val="18"/>
          <w:szCs w:val="18"/>
        </w:rPr>
      </w:pPr>
      <w:r>
        <w:rPr>
          <w:rFonts w:hint="eastAsia" w:ascii="方正黑体_GBK" w:hAnsi="方正黑体_GBK" w:eastAsia="方正黑体_GBK"/>
          <w:b/>
          <w:bCs w:val="0"/>
          <w:vanish w:val="0"/>
          <w:color w:val="3D3D3D"/>
          <w:kern w:val="0"/>
          <w:sz w:val="18"/>
          <w:szCs w:val="18"/>
        </w:rPr>
        <w:t>本理财产品是</w:t>
      </w:r>
      <w:r>
        <w:rPr>
          <w:rFonts w:hint="eastAsia" w:ascii="方正黑体_GBK" w:hAnsi="方正黑体_GBK" w:eastAsia="方正黑体_GBK"/>
          <w:b/>
          <w:bCs w:val="0"/>
          <w:i/>
          <w:iCs/>
          <w:vanish w:val="0"/>
          <w:color w:val="3D3D3D"/>
          <w:kern w:val="0"/>
          <w:sz w:val="24"/>
          <w:szCs w:val="24"/>
          <w:u w:val="single"/>
        </w:rPr>
        <w:t>封闭式、固定收益类、公募、净值型</w:t>
      </w:r>
      <w:r>
        <w:rPr>
          <w:rFonts w:hint="eastAsia" w:ascii="方正黑体_GBK" w:hAnsi="方正黑体_GBK" w:eastAsia="方正黑体_GBK"/>
          <w:b/>
          <w:bCs w:val="0"/>
          <w:vanish w:val="0"/>
          <w:color w:val="3D3D3D"/>
          <w:kern w:val="0"/>
          <w:sz w:val="18"/>
          <w:szCs w:val="18"/>
        </w:rPr>
        <w:t>理财产品，</w:t>
      </w:r>
      <w:r>
        <w:rPr>
          <w:rFonts w:hint="eastAsia" w:ascii="方正黑体_GBK" w:hAnsi="方正黑体_GBK" w:eastAsia="方正黑体_GBK" w:cs="Times New Roman"/>
          <w:b/>
          <w:bCs w:val="0"/>
          <w:i/>
          <w:iCs/>
          <w:vanish w:val="0"/>
          <w:color w:val="3D3D3D"/>
          <w:kern w:val="0"/>
          <w:sz w:val="24"/>
          <w:szCs w:val="24"/>
          <w:u w:val="single"/>
        </w:rPr>
        <w:t>不保证本金和收益</w:t>
      </w:r>
      <w:r>
        <w:rPr>
          <w:rFonts w:hint="eastAsia" w:ascii="方正黑体_GBK" w:hAnsi="方正黑体_GBK" w:eastAsia="方正黑体_GBK"/>
          <w:b/>
          <w:bCs w:val="0"/>
          <w:vanish w:val="0"/>
          <w:color w:val="3D3D3D"/>
          <w:kern w:val="0"/>
          <w:sz w:val="18"/>
          <w:szCs w:val="18"/>
        </w:rPr>
        <w:t>，您（以下或称为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投资者</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）的本金与收益可能会蒙受</w:t>
      </w:r>
      <w:r>
        <w:rPr>
          <w:rFonts w:hint="eastAsia" w:ascii="方正黑体_GBK" w:hAnsi="方正黑体_GBK" w:eastAsia="方正黑体_GBK" w:cs="Times New Roman"/>
          <w:b/>
          <w:bCs w:val="0"/>
          <w:vanish w:val="0"/>
          <w:color w:val="3D3D3D"/>
          <w:kern w:val="0"/>
          <w:sz w:val="18"/>
          <w:szCs w:val="18"/>
        </w:rPr>
        <w:t>全部或部分</w:t>
      </w:r>
      <w:r>
        <w:rPr>
          <w:rFonts w:hint="eastAsia" w:ascii="方正黑体_GBK" w:hAnsi="方正黑体_GBK" w:eastAsia="方正黑体_GBK"/>
          <w:b/>
          <w:bCs w:val="0"/>
          <w:vanish w:val="0"/>
          <w:color w:val="3D3D3D"/>
          <w:kern w:val="0"/>
          <w:sz w:val="18"/>
          <w:szCs w:val="18"/>
        </w:rPr>
        <w:t>损失，</w:t>
      </w:r>
      <w:r>
        <w:rPr>
          <w:rFonts w:hint="eastAsia" w:ascii="方正黑体_GBK" w:hAnsi="方正黑体_GBK" w:eastAsia="方正黑体_GBK" w:cs="Times New Roman"/>
          <w:b/>
          <w:bCs w:val="0"/>
          <w:vanish w:val="0"/>
          <w:color w:val="3D3D3D"/>
          <w:kern w:val="0"/>
          <w:sz w:val="18"/>
          <w:szCs w:val="18"/>
        </w:rPr>
        <w:t>在您选择购买本理财产品前，您应仔细阅读</w:t>
      </w:r>
      <w:r>
        <w:rPr>
          <w:rFonts w:hint="eastAsia" w:ascii="方正黑体_GBK" w:hAnsi="方正黑体_GBK" w:eastAsia="方正黑体_GBK"/>
          <w:b/>
          <w:bCs w:val="0"/>
          <w:vanish w:val="0"/>
          <w:color w:val="3D3D3D"/>
          <w:kern w:val="0"/>
          <w:sz w:val="18"/>
          <w:szCs w:val="18"/>
        </w:rPr>
        <w:t>对应期次的《理财产品风险揭示书》《理财产品说明书》《投资者权益须知》《理财产品销售协议书》</w:t>
      </w:r>
      <w:r>
        <w:rPr>
          <w:rFonts w:hint="eastAsia" w:ascii="方正黑体_GBK" w:hAnsi="方正黑体_GBK" w:eastAsia="方正黑体_GBK" w:cs="Times New Roman"/>
          <w:b/>
          <w:bCs w:val="0"/>
          <w:color w:val="3D3D3D"/>
          <w:sz w:val="18"/>
          <w:szCs w:val="18"/>
          <w:lang w:val="en-US" w:eastAsia="zh-CN"/>
        </w:rPr>
        <w:t>（具体名称及内容以销售机构为准，下同）《投资者权益须知》（具体名称及内容以销售机构为准，下同）</w:t>
      </w:r>
      <w:r>
        <w:rPr>
          <w:rFonts w:hint="eastAsia" w:ascii="方正黑体_GBK" w:hAnsi="方正黑体_GBK" w:eastAsia="方正黑体_GBK" w:cs="Times New Roman"/>
          <w:b/>
          <w:bCs w:val="0"/>
          <w:vanish w:val="0"/>
          <w:color w:val="3D3D3D"/>
          <w:kern w:val="0"/>
          <w:sz w:val="18"/>
          <w:szCs w:val="18"/>
        </w:rPr>
        <w:t>和《理财产品投资协议书》</w:t>
      </w:r>
      <w:r>
        <w:rPr>
          <w:rFonts w:hint="eastAsia" w:ascii="方正黑体_GBK" w:hAnsi="方正黑体_GBK" w:eastAsia="方正黑体_GBK"/>
          <w:b/>
          <w:bCs w:val="0"/>
          <w:vanish w:val="0"/>
          <w:color w:val="3D3D3D"/>
          <w:kern w:val="0"/>
          <w:sz w:val="18"/>
          <w:szCs w:val="18"/>
        </w:rPr>
        <w:t>（以下合称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理财产品销售文件</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，了解本理财产品信息及详细</w:t>
      </w:r>
      <w:r>
        <w:rPr>
          <w:rFonts w:hint="eastAsia" w:ascii="方正黑体_GBK" w:hAnsi="方正黑体_GBK" w:eastAsia="方正黑体_GBK"/>
          <w:b/>
          <w:bCs w:val="0"/>
          <w:vanish w:val="0"/>
          <w:color w:val="3D3D3D"/>
          <w:kern w:val="0"/>
          <w:sz w:val="18"/>
          <w:szCs w:val="18"/>
        </w:rPr>
        <w:t>条款</w:t>
      </w:r>
      <w:r>
        <w:rPr>
          <w:rFonts w:hint="eastAsia" w:ascii="方正黑体_GBK" w:hAnsi="方正黑体_GBK" w:eastAsia="方正黑体_GBK" w:cs="Times New Roman"/>
          <w:b/>
          <w:bCs w:val="0"/>
          <w:vanish w:val="0"/>
          <w:color w:val="3D3D3D"/>
          <w:kern w:val="0"/>
          <w:sz w:val="18"/>
          <w:szCs w:val="18"/>
        </w:rPr>
        <w:t>。</w:t>
      </w:r>
    </w:p>
    <w:p w14:paraId="5B498F9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b/>
          <w:bCs w:val="0"/>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重要提示：</w:t>
      </w:r>
      <w:r>
        <w:rPr>
          <w:rFonts w:hint="eastAsia" w:ascii="方正黑体_GBK" w:hAnsi="方正黑体_GBK" w:eastAsia="方正黑体_GBK"/>
          <w:b/>
          <w:bCs w:val="0"/>
          <w:vanish w:val="0"/>
          <w:color w:val="3D3D3D"/>
          <w:kern w:val="0"/>
          <w:sz w:val="18"/>
          <w:szCs w:val="18"/>
        </w:rPr>
        <w:t>南银理财有限责任公司（以下简称为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南银理财</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、“理财产品管理人”、“产品管理人”或“管理人”</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ascii="方正黑体_GBK" w:hAnsi="方正黑体_GBK" w:eastAsia="方正黑体_GBK"/>
          <w:b/>
          <w:bCs w:val="0"/>
          <w:vanish w:val="0"/>
          <w:color w:val="3D3D3D"/>
          <w:kern w:val="0"/>
          <w:sz w:val="18"/>
          <w:szCs w:val="18"/>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ascii="方正黑体_GBK" w:hAnsi="方正黑体_GBK" w:eastAsia="方正黑体_GBK" w:cs="Times New Roman"/>
          <w:b/>
          <w:bCs w:val="0"/>
          <w:vanish w:val="0"/>
          <w:color w:val="3D3D3D"/>
          <w:kern w:val="0"/>
          <w:sz w:val="18"/>
          <w:szCs w:val="18"/>
        </w:rPr>
        <w:t>您应该充分认识本理财产品的投资风险，本着</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充分了解风险，自主选择购买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的原则，谨慎决策</w:t>
      </w:r>
      <w:r>
        <w:rPr>
          <w:rFonts w:hint="eastAsia" w:ascii="方正黑体_GBK" w:hAnsi="方正黑体_GBK" w:eastAsia="方正黑体_GBK"/>
          <w:b/>
          <w:bCs w:val="0"/>
          <w:vanish w:val="0"/>
          <w:color w:val="3D3D3D"/>
          <w:kern w:val="0"/>
          <w:sz w:val="18"/>
          <w:szCs w:val="18"/>
        </w:rPr>
        <w:t>，自主决定将合法所有的自有资金用于购买本理财产品。理财产品过往业绩不代表其未来表现，不等于理财产品实际收益，</w:t>
      </w:r>
      <w:r>
        <w:rPr>
          <w:rFonts w:hint="eastAsia" w:ascii="方正黑体_GBK" w:hAnsi="方正黑体_GBK" w:eastAsia="方正黑体_GBK" w:cs="Times New Roman"/>
          <w:b/>
          <w:bCs w:val="0"/>
          <w:vanish w:val="0"/>
          <w:color w:val="3D3D3D"/>
          <w:kern w:val="0"/>
          <w:sz w:val="18"/>
          <w:szCs w:val="18"/>
        </w:rPr>
        <w:t>不构成管理人对理财产品业绩表现的保证，</w:t>
      </w:r>
      <w:r>
        <w:rPr>
          <w:rFonts w:hint="eastAsia" w:ascii="方正黑体_GBK" w:hAnsi="方正黑体_GBK" w:eastAsia="方正黑体_GBK"/>
          <w:b/>
          <w:bCs w:val="0"/>
          <w:vanish w:val="0"/>
          <w:color w:val="3D3D3D"/>
          <w:kern w:val="0"/>
          <w:sz w:val="18"/>
          <w:szCs w:val="18"/>
        </w:rPr>
        <w:t>投资须谨慎</w:t>
      </w:r>
      <w:r>
        <w:rPr>
          <w:rFonts w:hint="eastAsia" w:ascii="方正黑体_GBK" w:hAnsi="方正黑体_GBK" w:eastAsia="方正黑体_GBK" w:cs="Times New Roman"/>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在购买本理财产品后，您应随时关注产品的信息披露情况，及时获取相关信息。</w:t>
      </w:r>
    </w:p>
    <w:p w14:paraId="11B7422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l="0"/>
          <w:vanish w:val="0"/>
          <w:color w:val="3D3D3D"/>
          <w:kern w:val="0"/>
          <w:sz w:val="18"/>
          <w:szCs w:val="18"/>
        </w:rPr>
        <w:t>本风险揭示书列示的风险指理财产品项下可能涉及的风险，包括但不限于：</w:t>
      </w:r>
    </w:p>
    <w:p w14:paraId="3B2FD9E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第一条</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理财产品共性风险提示和管控措施</w:t>
      </w:r>
    </w:p>
    <w:p w14:paraId="2E6371B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（一）政策风险：</w:t>
      </w:r>
      <w:r>
        <w:rPr>
          <w:rFonts w:hint="eastAsia" w:ascii="方正黑体_GBK" w:hAnsi="方正黑体_GBK" w:eastAsia="方正黑体_GBK" w:cs="Times New Roman"/>
          <w:vanish w:val="0"/>
          <w:color w:val="3D3D3D"/>
          <w:kern w:val="0"/>
          <w:sz w:val="18"/>
          <w:szCs w:val="18"/>
        </w:rPr>
        <w:t>本</w:t>
      </w:r>
      <w:r>
        <w:rPr>
          <w:rFonts w:hint="eastAsia" w:ascii="方正黑体_GBK" w:hAnsi="方正黑体_GBK" w:eastAsia="方正黑体_GBK"/>
          <w:vanish w:val="0"/>
          <w:color w:val="3D3D3D"/>
          <w:kern w:val="0"/>
          <w:sz w:val="18"/>
          <w:szCs w:val="18"/>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ascii="方正黑体_GBK" w:hAnsi="方正黑体_GBK" w:eastAsia="方正黑体_GBK" w:cs="Times New Roman"/>
          <w:vanish w:val="0"/>
          <w:color w:val="3D3D3D"/>
          <w:kern w:val="0"/>
          <w:sz w:val="18"/>
          <w:szCs w:val="18"/>
        </w:rPr>
        <w:t>导致</w:t>
      </w:r>
      <w:r>
        <w:rPr>
          <w:rFonts w:hint="eastAsia" w:ascii="方正黑体_GBK" w:hAnsi="方正黑体_GBK" w:eastAsia="方正黑体_GBK"/>
          <w:vanish w:val="0"/>
          <w:color w:val="3D3D3D"/>
          <w:kern w:val="0"/>
          <w:sz w:val="18"/>
          <w:szCs w:val="18"/>
        </w:rPr>
        <w:t>理财产品的收益降低</w:t>
      </w:r>
      <w:r>
        <w:rPr>
          <w:rFonts w:hint="eastAsia" w:ascii="方正黑体_GBK" w:hAnsi="方正黑体_GBK" w:eastAsia="方正黑体_GBK" w:cs="Times New Roman"/>
          <w:vanish w:val="0"/>
          <w:color w:val="3D3D3D"/>
          <w:kern w:val="0"/>
          <w:sz w:val="18"/>
          <w:szCs w:val="18"/>
        </w:rPr>
        <w:t>或无法取得任何收益</w:t>
      </w:r>
      <w:r>
        <w:rPr>
          <w:rFonts w:hint="eastAsia" w:ascii="方正黑体_GBK" w:hAnsi="方正黑体_GBK" w:eastAsia="方正黑体_GBK"/>
          <w:vanish w:val="0"/>
          <w:color w:val="3D3D3D"/>
          <w:kern w:val="0"/>
          <w:sz w:val="18"/>
          <w:szCs w:val="18"/>
        </w:rPr>
        <w:t>甚至本理财产品的本金遭受</w:t>
      </w:r>
      <w:r>
        <w:rPr>
          <w:rFonts w:hint="eastAsia" w:ascii="方正黑体_GBK" w:hAnsi="方正黑体_GBK" w:eastAsia="方正黑体_GBK" w:cs="Times New Roman"/>
          <w:vanish w:val="0"/>
          <w:color w:val="3D3D3D"/>
          <w:kern w:val="0"/>
          <w:sz w:val="18"/>
          <w:szCs w:val="18"/>
        </w:rPr>
        <w:t>部分或全部</w:t>
      </w:r>
      <w:r>
        <w:rPr>
          <w:rFonts w:hint="eastAsia" w:ascii="方正黑体_GBK" w:hAnsi="方正黑体_GBK" w:eastAsia="方正黑体_GBK"/>
          <w:vanish w:val="0"/>
          <w:color w:val="3D3D3D"/>
          <w:kern w:val="0"/>
          <w:sz w:val="18"/>
          <w:szCs w:val="18"/>
        </w:rPr>
        <w:t>损失，也可能导致本理财产品违反国家法律、法规或者其他合同的有关规定，进而导致本理财产品被宣告无效、撤销、解除或提前终止等。</w:t>
      </w:r>
    </w:p>
    <w:p w14:paraId="12FFDDF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（二）信用风险：</w:t>
      </w:r>
      <w:r>
        <w:rPr>
          <w:rFonts w:hint="eastAsia" w:ascii="方正黑体_GBK" w:hAnsi="方正黑体_GBK" w:eastAsia="方正黑体_GBK" w:cs="Times New Roman"/>
          <w:vanish w:val="0"/>
          <w:color w:val="3D3D3D"/>
          <w:kern w:val="0"/>
          <w:sz w:val="18"/>
          <w:szCs w:val="18"/>
        </w:rPr>
        <w:t>本理财产品收益来源于理财产品项下投资对象的回报。</w:t>
      </w:r>
      <w:r>
        <w:rPr>
          <w:rFonts w:hint="eastAsia" w:ascii="方正黑体_GBK" w:hAnsi="方正黑体_GBK" w:eastAsia="方正黑体_GBK"/>
          <w:vanish w:val="0"/>
          <w:color w:val="3D3D3D"/>
          <w:kern w:val="0"/>
          <w:sz w:val="18"/>
          <w:szCs w:val="18"/>
        </w:rPr>
        <w:t>本理财产品所投资的资产，可能因债务人违约或者其他原因在投资期限届满时不能足额变现，由此可能导致本理财产品的本金及收益遭受损失。</w:t>
      </w:r>
      <w:r>
        <w:rPr>
          <w:rFonts w:hint="eastAsia" w:ascii="方正黑体_GBK" w:hAnsi="方正黑体_GBK" w:eastAsia="方正黑体_GBK" w:cs="Times New Roman"/>
          <w:vanish w:val="0"/>
          <w:color w:val="3D3D3D"/>
          <w:kern w:val="0"/>
          <w:sz w:val="18"/>
          <w:szCs w:val="18"/>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14:paraId="17C604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（三）市场风险：理财产品面临的市场风险主要指因市场各种风险因子变动，使得理财产品配置资产的价格发生波动，导致理财产品本金或收益蒙受损失的风险。</w:t>
      </w:r>
    </w:p>
    <w:p w14:paraId="23C5046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理财产品投资不同类型的资产可能面临的市场风险包括但不限于：</w:t>
      </w:r>
      <w:r>
        <w:rPr>
          <w:rFonts w:ascii="方正黑体_GBK" w:hAnsi="方正黑体_GBK" w:eastAsia="方正黑体_GBK"/>
          <w:vanish w:val="0"/>
          <w:color w:val="3D3D3D"/>
          <w:kern w:val="0"/>
          <w:sz w:val="18"/>
          <w:szCs w:val="18"/>
        </w:rPr>
        <w:t>1.</w:t>
      </w:r>
      <w:r>
        <w:rPr>
          <w:rFonts w:hint="eastAsia" w:ascii="方正黑体_GBK" w:hAnsi="方正黑体_GBK" w:eastAsia="方正黑体_GBK"/>
          <w:vanish w:val="0"/>
          <w:color w:val="3D3D3D"/>
          <w:kern w:val="0"/>
          <w:sz w:val="18"/>
          <w:szCs w:val="18"/>
        </w:rPr>
        <w:t>理财产品投资债券等固定收益率资产将面临利率、汇率变化等市场风险以及债券价格波动风险；</w:t>
      </w:r>
      <w:r>
        <w:rPr>
          <w:rFonts w:ascii="方正黑体_GBK" w:hAnsi="方正黑体_GBK" w:eastAsia="方正黑体_GBK"/>
          <w:vanish w:val="0"/>
          <w:color w:val="3D3D3D"/>
          <w:kern w:val="0"/>
          <w:sz w:val="18"/>
          <w:szCs w:val="18"/>
        </w:rPr>
        <w:t>2.</w:t>
      </w:r>
      <w:r>
        <w:rPr>
          <w:rFonts w:hint="eastAsia" w:ascii="方正黑体_GBK" w:hAnsi="方正黑体_GBK" w:eastAsia="方正黑体_GBK"/>
          <w:vanish w:val="0"/>
          <w:color w:val="3D3D3D"/>
          <w:kern w:val="0"/>
          <w:sz w:val="18"/>
          <w:szCs w:val="18"/>
        </w:rPr>
        <w:t>理财产品投资股票等权益类资产将面临股票价格波动风险和股票发行人的经营风险、管理风险等风险；</w:t>
      </w:r>
      <w:r>
        <w:rPr>
          <w:rFonts w:ascii="方正黑体_GBK" w:hAnsi="方正黑体_GBK" w:eastAsia="方正黑体_GBK"/>
          <w:vanish w:val="0"/>
          <w:color w:val="3D3D3D"/>
          <w:kern w:val="0"/>
          <w:sz w:val="18"/>
          <w:szCs w:val="18"/>
        </w:rPr>
        <w:t>3.</w:t>
      </w:r>
      <w:r>
        <w:rPr>
          <w:rFonts w:hint="eastAsia" w:ascii="方正黑体_GBK" w:hAnsi="方正黑体_GBK" w:eastAsia="方正黑体_GBK"/>
          <w:vanish w:val="0"/>
          <w:color w:val="3D3D3D"/>
          <w:kern w:val="0"/>
          <w:sz w:val="18"/>
          <w:szCs w:val="18"/>
        </w:rPr>
        <w:t>理财产品投资商品及金融衍生品类产品可能面临衍生品公允价值变化风险</w:t>
      </w:r>
      <w:r>
        <w:rPr>
          <w:rFonts w:hint="eastAsia" w:ascii="方正黑体_GBK" w:hAnsi="方正黑体_GBK" w:eastAsia="方正黑体_GBK" w:cs="Times New Roman"/>
          <w:vanish w:val="0"/>
          <w:color w:val="3D3D3D"/>
          <w:kern w:val="0"/>
          <w:sz w:val="18"/>
          <w:szCs w:val="18"/>
        </w:rPr>
        <w:t>等。</w:t>
      </w:r>
    </w:p>
    <w:p w14:paraId="625404D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ascii="方正黑体_GBK" w:hAnsi="方正黑体_GBK" w:eastAsia="方正黑体_GBK" w:cs="Times New Roman"/>
          <w:vanish w:val="0"/>
          <w:color w:val="3D3D3D"/>
          <w:kern w:val="0"/>
          <w:sz w:val="18"/>
          <w:szCs w:val="18"/>
        </w:rPr>
        <w:t>在理财产品存续期内的非开放日（如有）投资者不得赎回，在开放日（如有）可能因发生理财产品说明书中约定的限制赎回情况，导致投资者在需要资金时无法随时变现，</w:t>
      </w:r>
      <w:r>
        <w:rPr>
          <w:rFonts w:hint="eastAsia" w:ascii="方正黑体_GBK" w:hAnsi="方正黑体_GBK" w:eastAsia="方正黑体_GBK"/>
          <w:vanish w:val="0"/>
          <w:color w:val="3D3D3D"/>
          <w:kern w:val="0"/>
          <w:sz w:val="18"/>
          <w:szCs w:val="18"/>
        </w:rPr>
        <w:t>当市场上出现更高收益的产品时，将有可能</w:t>
      </w:r>
      <w:r>
        <w:rPr>
          <w:rFonts w:hint="eastAsia" w:ascii="方正黑体_GBK" w:hAnsi="方正黑体_GBK" w:eastAsia="方正黑体_GBK" w:cs="Times New Roman"/>
          <w:vanish w:val="0"/>
          <w:color w:val="3D3D3D"/>
          <w:kern w:val="0"/>
          <w:sz w:val="18"/>
          <w:szCs w:val="18"/>
        </w:rPr>
        <w:t>导致投资者</w:t>
      </w:r>
      <w:r>
        <w:rPr>
          <w:rFonts w:hint="eastAsia" w:ascii="方正黑体_GBK" w:hAnsi="方正黑体_GBK" w:eastAsia="方正黑体_GBK"/>
          <w:vanish w:val="0"/>
          <w:color w:val="3D3D3D"/>
          <w:kern w:val="0"/>
          <w:sz w:val="18"/>
          <w:szCs w:val="18"/>
        </w:rPr>
        <w:t>因此丧失其他投资机会。</w:t>
      </w:r>
    </w:p>
    <w:p w14:paraId="0DCCB01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（五）交易对手风险：理财产品面临的交易对手风险主要是指南银理财为理财产品配置资产的过程中，因交易对手交易失误、过错等原因，导致理财产品本金或收益蒙受损失的风险。</w:t>
      </w:r>
    </w:p>
    <w:p w14:paraId="4F73B6F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14:paraId="2047A08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14:paraId="23D9C96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（八）</w:t>
      </w:r>
      <w:r>
        <w:rPr>
          <w:rFonts w:hint="eastAsia" w:ascii="方正黑体_GBK" w:hAnsi="方正黑体_GBK" w:eastAsia="方正黑体_GBK" w:cs="Times New Roman"/>
          <w:vanish w:val="0"/>
          <w:color w:val="3D3D3D"/>
          <w:kern w:val="0"/>
          <w:sz w:val="18"/>
          <w:szCs w:val="18"/>
        </w:rPr>
        <w:t>理财</w:t>
      </w:r>
      <w:r>
        <w:rPr>
          <w:rFonts w:hint="eastAsia" w:ascii="方正黑体_GBK" w:hAnsi="方正黑体_GBK" w:eastAsia="方正黑体_GBK"/>
          <w:vanish w:val="0"/>
          <w:color w:val="3D3D3D"/>
          <w:kern w:val="0"/>
          <w:sz w:val="18"/>
          <w:szCs w:val="18"/>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ascii="方正黑体_GBK" w:hAnsi="方正黑体_GBK" w:eastAsia="方正黑体_GBK" w:cs="Times New Roman"/>
          <w:vanish w:val="0"/>
          <w:color w:val="3D3D3D"/>
          <w:kern w:val="0"/>
          <w:sz w:val="18"/>
          <w:szCs w:val="18"/>
        </w:rPr>
        <w:t>（或通过销售机构通知）</w:t>
      </w:r>
      <w:r>
        <w:rPr>
          <w:rFonts w:hint="eastAsia" w:ascii="方正黑体_GBK" w:hAnsi="方正黑体_GBK" w:eastAsia="方正黑体_GBK"/>
          <w:vanish w:val="0"/>
          <w:color w:val="3D3D3D"/>
          <w:kern w:val="0"/>
          <w:sz w:val="18"/>
          <w:szCs w:val="18"/>
        </w:rPr>
        <w:t>理财产品不成立且不承担任何违约责任，投资者将面临再投资风险。</w:t>
      </w:r>
    </w:p>
    <w:p w14:paraId="2CF78BA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（九）延期分配风险：如因理财产品投资的资产</w:t>
      </w:r>
      <w:r>
        <w:rPr>
          <w:rFonts w:hint="eastAsia" w:ascii="方正黑体_GBK" w:hAnsi="方正黑体_GBK" w:eastAsia="方正黑体_GBK" w:cs="Times New Roman"/>
          <w:vanish w:val="0"/>
          <w:color w:val="3D3D3D"/>
          <w:kern w:val="0"/>
          <w:sz w:val="18"/>
          <w:szCs w:val="18"/>
        </w:rPr>
        <w:t>市场流动性不足或受限导致未能正常买卖结算，或投资资产正常到期，投资资产相关发行人或融资主体未能及时偿付本息，所投资工具</w:t>
      </w:r>
      <w:r>
        <w:rPr>
          <w:rFonts w:hint="eastAsia" w:ascii="方正黑体_GBK" w:hAnsi="方正黑体_GBK" w:eastAsia="方正黑体_GBK"/>
          <w:vanish w:val="0"/>
          <w:color w:val="3D3D3D"/>
          <w:kern w:val="0"/>
          <w:sz w:val="18"/>
          <w:szCs w:val="18"/>
        </w:rPr>
        <w:t>无法及时变现等原因造成不能按时支付理财产品本金和收益，则投资者面临理财产品期限延期、调整等风险。</w:t>
      </w:r>
    </w:p>
    <w:p w14:paraId="21C5333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（十）提前终止风险：在理财产品存续期内，南银理财有权根据市场变化等情况提前终止本理财产品，一旦理财产品被提前终止，投资者可能面临再投资风险、本金和收益蒙受损失的风险。</w:t>
      </w:r>
    </w:p>
    <w:p w14:paraId="01894E8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ascii="方正黑体_GBK" w:hAnsi="方正黑体_GBK" w:eastAsia="方正黑体_GBK" w:cs="Times New Roman"/>
          <w:b/>
          <w:bCs/>
          <w:vanish w:val="0"/>
          <w:color w:val="3D3D3D"/>
          <w:kern w:val="0"/>
          <w:sz w:val="18"/>
          <w:szCs w:val="18"/>
        </w:rPr>
        <w:t>者</w:t>
      </w:r>
      <w:r>
        <w:rPr>
          <w:rFonts w:hint="eastAsia" w:ascii="方正黑体_GBK" w:hAnsi="方正黑体_GBK" w:eastAsia="方正黑体_GBK"/>
          <w:b/>
          <w:bCs/>
          <w:vanish w:val="0"/>
          <w:color w:val="3D3D3D"/>
          <w:kern w:val="0"/>
          <w:sz w:val="18"/>
          <w:szCs w:val="18"/>
        </w:rPr>
        <w:t>蒙受损失的风险。</w:t>
      </w:r>
    </w:p>
    <w:p w14:paraId="47A2EDD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南银理财按照对应期次《理财产品说明书》有关条款的约定，发布当期理财产品的运作、到期清算或提前终止等信息公告</w:t>
      </w:r>
      <w:r>
        <w:rPr>
          <w:rFonts w:hint="eastAsia" w:ascii="方正黑体_GBK" w:hAnsi="方正黑体_GBK" w:eastAsia="方正黑体_GBK" w:cs="Times New Roman"/>
          <w:b/>
          <w:bCs/>
          <w:vanish w:val="0"/>
          <w:color w:val="3D3D3D"/>
          <w:kern w:val="0"/>
          <w:sz w:val="18"/>
          <w:szCs w:val="18"/>
        </w:rPr>
        <w:t>或报告</w:t>
      </w:r>
      <w:r>
        <w:rPr>
          <w:rFonts w:hint="eastAsia" w:ascii="方正黑体_GBK" w:hAnsi="方正黑体_GBK" w:eastAsia="方正黑体_GBK"/>
          <w:b/>
          <w:bCs/>
          <w:vanish w:val="0"/>
          <w:color w:val="3D3D3D"/>
          <w:kern w:val="0"/>
          <w:sz w:val="18"/>
          <w:szCs w:val="18"/>
        </w:rPr>
        <w:t>。投资者应根据《理财产品说明书》中约定的</w:t>
      </w:r>
      <w:r>
        <w:rPr>
          <w:rFonts w:hint="eastAsia" w:ascii="方正黑体_GBK" w:hAnsi="方正黑体_GBK" w:eastAsia="方正黑体_GBK" w:cs="Times New Roman"/>
          <w:b/>
          <w:bCs/>
          <w:vanish w:val="0"/>
          <w:color w:val="3D3D3D"/>
          <w:kern w:val="0"/>
          <w:sz w:val="18"/>
          <w:szCs w:val="18"/>
        </w:rPr>
        <w:t>信息披露</w:t>
      </w:r>
      <w:r>
        <w:rPr>
          <w:rFonts w:hint="eastAsia" w:ascii="方正黑体_GBK" w:hAnsi="方正黑体_GBK" w:eastAsia="方正黑体_GBK"/>
          <w:b/>
          <w:bCs/>
          <w:vanish w:val="0"/>
          <w:color w:val="3D3D3D"/>
          <w:kern w:val="0"/>
          <w:sz w:val="18"/>
          <w:szCs w:val="18"/>
        </w:rPr>
        <w:t>渠道及时查询相关信息</w:t>
      </w:r>
      <w:r>
        <w:rPr>
          <w:rFonts w:hint="eastAsia" w:ascii="方正黑体_GBK" w:hAnsi="方正黑体_GBK" w:eastAsia="方正黑体_GBK" w:cs="Times New Roman"/>
          <w:b/>
          <w:bCs/>
          <w:vanish w:val="0"/>
          <w:color w:val="3D3D3D"/>
          <w:kern w:val="0"/>
          <w:sz w:val="18"/>
          <w:szCs w:val="18"/>
        </w:rPr>
        <w:t>，</w:t>
      </w:r>
      <w:r>
        <w:rPr>
          <w:rFonts w:hint="eastAsia" w:ascii="方正黑体_GBK" w:hAnsi="方正黑体_GBK" w:eastAsia="方正黑体_GBK"/>
          <w:b/>
          <w:bCs/>
          <w:vanish w:val="0"/>
          <w:color w:val="3D3D3D"/>
          <w:kern w:val="0"/>
          <w:sz w:val="18"/>
          <w:szCs w:val="18"/>
        </w:rPr>
        <w:t>以获知有关本理财产品相关信息，如果投资者未及时查询，或由于通信故障、系统故障以及其他不可抗力等因素的影响使得投资者无法及时了解产品信息，</w:t>
      </w:r>
      <w:r>
        <w:rPr>
          <w:rFonts w:hint="eastAsia" w:ascii="方正黑体_GBK" w:hAnsi="方正黑体_GBK" w:eastAsia="方正黑体_GBK" w:cs="Times New Roman"/>
          <w:b/>
          <w:bCs/>
          <w:vanish w:val="0"/>
          <w:color w:val="3D3D3D"/>
          <w:kern w:val="0"/>
          <w:sz w:val="18"/>
          <w:szCs w:val="18"/>
        </w:rPr>
        <w:t>投资者承担</w:t>
      </w:r>
      <w:r>
        <w:rPr>
          <w:rFonts w:hint="eastAsia" w:ascii="方正黑体_GBK" w:hAnsi="方正黑体_GBK" w:eastAsia="方正黑体_GBK"/>
          <w:b/>
          <w:bCs/>
          <w:vanish w:val="0"/>
          <w:color w:val="3D3D3D"/>
          <w:kern w:val="0"/>
          <w:sz w:val="18"/>
          <w:szCs w:val="18"/>
        </w:rPr>
        <w:t>因此而产生的责任和风险。</w:t>
      </w:r>
    </w:p>
    <w:p w14:paraId="3FA5522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14:paraId="1CE0325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（十二）不可抗力及意外事件风险：理财产品面临的不可抗力及意外事件风险是指</w:t>
      </w:r>
      <w:r>
        <w:rPr>
          <w:rFonts w:hint="eastAsia" w:ascii="方正黑体_GBK" w:hAnsi="方正黑体_GBK" w:eastAsia="方正黑体_GBK" w:cs="Times New Roman"/>
          <w:vanish w:val="0"/>
          <w:color w:val="3D3D3D"/>
          <w:kern w:val="0"/>
          <w:sz w:val="18"/>
          <w:szCs w:val="18"/>
        </w:rPr>
        <w:t>《理财产品说明书》规定的不可抗力或</w:t>
      </w:r>
      <w:r>
        <w:rPr>
          <w:rFonts w:hint="eastAsia" w:ascii="方正黑体_GBK" w:hAnsi="方正黑体_GBK" w:eastAsia="方正黑体_GBK"/>
          <w:vanish w:val="0"/>
          <w:color w:val="3D3D3D"/>
          <w:kern w:val="0"/>
          <w:sz w:val="18"/>
          <w:szCs w:val="18"/>
        </w:rPr>
        <w:t>南银理财、</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、托管机构系统故障、通讯故障、投资市场停止交易等意外事件的出现，严重影响金融市场的正常运行，从而</w:t>
      </w:r>
      <w:r>
        <w:rPr>
          <w:rFonts w:hint="eastAsia" w:ascii="方正黑体_GBK" w:hAnsi="方正黑体_GBK" w:eastAsia="方正黑体_GBK" w:cs="Times New Roman"/>
          <w:vanish w:val="0"/>
          <w:color w:val="3D3D3D"/>
          <w:kern w:val="0"/>
          <w:sz w:val="18"/>
          <w:szCs w:val="18"/>
        </w:rPr>
        <w:t>对</w:t>
      </w:r>
      <w:r>
        <w:rPr>
          <w:rFonts w:hint="eastAsia" w:ascii="方正黑体_GBK" w:hAnsi="方正黑体_GBK" w:eastAsia="方正黑体_GBK"/>
          <w:vanish w:val="0"/>
          <w:color w:val="3D3D3D"/>
          <w:kern w:val="0"/>
          <w:sz w:val="18"/>
          <w:szCs w:val="18"/>
        </w:rPr>
        <w:t>理财产品的成立、发行、投资运作、资金返还、信息披露、公告通知等造成影响，甚至影响理财产品的受理、投资、分配等事宜的正常进行，进而导致投资者蒙受</w:t>
      </w:r>
      <w:r>
        <w:rPr>
          <w:rFonts w:hint="eastAsia" w:ascii="方正黑体_GBK" w:hAnsi="方正黑体_GBK" w:eastAsia="方正黑体_GBK" w:cs="Times New Roman"/>
          <w:vanish w:val="0"/>
          <w:color w:val="3D3D3D"/>
          <w:kern w:val="0"/>
          <w:sz w:val="18"/>
          <w:szCs w:val="18"/>
        </w:rPr>
        <w:t>本金和收益遭受</w:t>
      </w:r>
      <w:r>
        <w:rPr>
          <w:rFonts w:hint="eastAsia" w:ascii="方正黑体_GBK" w:hAnsi="方正黑体_GBK" w:eastAsia="方正黑体_GBK"/>
          <w:vanish w:val="0"/>
          <w:color w:val="3D3D3D"/>
          <w:kern w:val="0"/>
          <w:sz w:val="18"/>
          <w:szCs w:val="18"/>
        </w:rPr>
        <w:t>损失的风险。</w:t>
      </w:r>
      <w:r>
        <w:rPr>
          <w:rFonts w:hint="eastAsia" w:ascii="方正黑体_GBK" w:hAnsi="方正黑体_GBK" w:eastAsia="方正黑体_GBK" w:cs="Times New Roman"/>
          <w:vanish w:val="0"/>
          <w:color w:val="3D3D3D"/>
          <w:kern w:val="0"/>
          <w:sz w:val="18"/>
          <w:szCs w:val="18"/>
        </w:rPr>
        <w:t>因不可抗力及意外事件风险导致的任何损失，</w:t>
      </w:r>
      <w:r>
        <w:rPr>
          <w:rFonts w:hint="eastAsia" w:ascii="方正黑体_GBK" w:hAnsi="方正黑体_GBK" w:eastAsia="方正黑体_GBK"/>
          <w:vanish w:val="0"/>
          <w:color w:val="3D3D3D"/>
          <w:kern w:val="0"/>
          <w:sz w:val="18"/>
          <w:szCs w:val="18"/>
        </w:rPr>
        <w:t>由投资者</w:t>
      </w:r>
      <w:r>
        <w:rPr>
          <w:rFonts w:hint="eastAsia" w:ascii="方正黑体_GBK" w:hAnsi="方正黑体_GBK" w:eastAsia="方正黑体_GBK" w:cs="Times New Roman"/>
          <w:vanish w:val="0"/>
          <w:color w:val="3D3D3D"/>
          <w:kern w:val="0"/>
          <w:sz w:val="18"/>
          <w:szCs w:val="18"/>
        </w:rPr>
        <w:t>自行</w:t>
      </w:r>
      <w:r>
        <w:rPr>
          <w:rFonts w:hint="eastAsia" w:ascii="方正黑体_GBK" w:hAnsi="方正黑体_GBK" w:eastAsia="方正黑体_GBK"/>
          <w:vanish w:val="0"/>
          <w:color w:val="3D3D3D"/>
          <w:kern w:val="0"/>
          <w:sz w:val="18"/>
          <w:szCs w:val="18"/>
        </w:rPr>
        <w:t>承担。</w:t>
      </w:r>
    </w:p>
    <w:p w14:paraId="284FF0F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（十三）税收风险：南银理财暂不负责代扣代缴投资者购买本理财产品所得收益应缴纳的各项税款。若相关税</w:t>
      </w:r>
      <w:r>
        <w:rPr>
          <w:rFonts w:hint="eastAsia" w:ascii="方正黑体_GBK" w:hAnsi="方正黑体_GBK" w:eastAsia="方正黑体_GBK" w:cs="Times New Roman"/>
          <w:vanish w:val="0"/>
          <w:color w:val="3D3D3D"/>
          <w:kern w:val="0"/>
          <w:sz w:val="18"/>
          <w:szCs w:val="18"/>
        </w:rPr>
        <w:t>收</w:t>
      </w:r>
      <w:r>
        <w:rPr>
          <w:rFonts w:hint="eastAsia" w:ascii="方正黑体_GBK" w:hAnsi="方正黑体_GBK" w:eastAsia="方正黑体_GBK"/>
          <w:vanish w:val="0"/>
          <w:color w:val="3D3D3D"/>
          <w:kern w:val="0"/>
          <w:sz w:val="18"/>
          <w:szCs w:val="18"/>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14:paraId="20F2638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（十四）管理风险：在产品运作过程中，受产品管理人经验、技能、判断力、执行力等方面的限制，可能对产品的运作及管理造成一定影响，并因此影响投资者收益，甚至造成本理财产品净值下跌、本金损失。</w:t>
      </w:r>
    </w:p>
    <w:p w14:paraId="0F8614D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（十五）操作风险：若管理人、</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、托管机构由于内部作业、人员管理及系统操作不当或失误，处理事务不当等，可能导致本理财产品的本金及收益遭受损失。</w:t>
      </w:r>
    </w:p>
    <w:p w14:paraId="37937B9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（十六）代销风险：本理财产品通过代销机构销售</w:t>
      </w:r>
      <w:r>
        <w:rPr>
          <w:rFonts w:hint="eastAsia" w:ascii="方正黑体_GBK" w:hAnsi="方正黑体_GBK" w:eastAsia="方正黑体_GBK" w:cs="Times New Roman"/>
          <w:vanish w:val="0"/>
          <w:color w:val="3D3D3D"/>
          <w:kern w:val="0"/>
          <w:sz w:val="18"/>
          <w:szCs w:val="18"/>
        </w:rPr>
        <w:t>时</w:t>
      </w:r>
      <w:r>
        <w:rPr>
          <w:rFonts w:hint="eastAsia" w:ascii="方正黑体_GBK" w:hAnsi="方正黑体_GBK" w:eastAsia="方正黑体_GBK"/>
          <w:vanish w:val="0"/>
          <w:color w:val="3D3D3D"/>
          <w:kern w:val="0"/>
          <w:sz w:val="18"/>
          <w:szCs w:val="18"/>
        </w:rPr>
        <w:t>，认购</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申购时投资者购买理财产品的资金由代销机构从投资者账户扣收并划付管理人，赎回时理财本金和理财收益相应款项由管理人按理财</w:t>
      </w:r>
      <w:r>
        <w:rPr>
          <w:rFonts w:hint="eastAsia" w:ascii="方正黑体_GBK" w:hAnsi="方正黑体_GBK" w:eastAsia="方正黑体_GBK" w:cs="Times New Roman"/>
          <w:vanish w:val="0"/>
          <w:color w:val="3D3D3D"/>
          <w:kern w:val="0"/>
          <w:sz w:val="18"/>
          <w:szCs w:val="18"/>
        </w:rPr>
        <w:t>产品销售文件</w:t>
      </w:r>
      <w:r>
        <w:rPr>
          <w:rFonts w:hint="eastAsia" w:ascii="方正黑体_GBK" w:hAnsi="方正黑体_GBK" w:eastAsia="方正黑体_GBK"/>
          <w:vanish w:val="0"/>
          <w:color w:val="3D3D3D"/>
          <w:kern w:val="0"/>
          <w:sz w:val="18"/>
          <w:szCs w:val="18"/>
        </w:rPr>
        <w:t>约定划付至代销机构，并由代销机构向投资者支付。</w:t>
      </w:r>
      <w:r>
        <w:rPr>
          <w:rFonts w:hint="eastAsia" w:ascii="方正黑体_GBK" w:hAnsi="方正黑体_GBK" w:eastAsia="方正黑体_GBK" w:cs="Times New Roman"/>
          <w:vanish w:val="0"/>
          <w:color w:val="3D3D3D"/>
          <w:kern w:val="0"/>
          <w:sz w:val="18"/>
          <w:szCs w:val="18"/>
        </w:rPr>
        <w:t>如果投资者在代销机构的资金账户余额不足，或代销机构未及时将投资者认购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申购资金划转至南银理财，将导致投资者无法完成认购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ascii="方正黑体_GBK" w:hAnsi="方正黑体_GBK" w:eastAsia="方正黑体_GBK"/>
          <w:vanish w:val="0"/>
          <w:color w:val="3D3D3D"/>
          <w:kern w:val="0"/>
          <w:sz w:val="18"/>
          <w:szCs w:val="18"/>
        </w:rPr>
        <w:t>代销机构用于划付理财产品项下资金的账户内资金被依法冻结或扣划、账户处于被挂失、冻结、注销或其他非正常状态等原因而导致交易失败的，由代销机构与投资者依法协商解决。</w:t>
      </w:r>
    </w:p>
    <w:p w14:paraId="6812E0E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（十七）未知价风险：净值型产品采用</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金额申购、份额赎回</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原则，即产品认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申购以金额申请，赎回以份额申请，认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申购与赎回价格以</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受理申请。</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，即理财产品申购申请和赎回申请提交时，适用的产品单位净值都是未知的，单位净值固定的产品除外。</w:t>
      </w:r>
    </w:p>
    <w:p w14:paraId="3B0D0932">
      <w:pPr>
        <w:keepNext w:val="0"/>
        <w:keepLines w:val="0"/>
        <w:pageBreakBefore w:val="0"/>
        <w:widowControl/>
        <w:suppressLineNumbers w:val="0"/>
        <w:suppressAutoHyphens w:val="0"/>
        <w:spacing w:line="240" w:lineRule="auto"/>
        <w:ind w:firstLine="260"/>
        <w:rPr>
          <w:rFonts w:hint="eastAsia" w:ascii="方正黑体_GBK" w:hAnsi="方正黑体_GBK" w:eastAsia="方正黑体_GBK"/>
          <w:sz w:val="24"/>
          <w:szCs w:val="24"/>
        </w:rPr>
      </w:pPr>
      <w:r>
        <w:rPr>
          <w:rFonts w:hint="eastAsia" w:ascii="方正黑体_GBK" w:hAnsi="方正黑体_GBK" w:eastAsia="方正黑体_GBK"/>
          <w:color w:val="3D3D3D"/>
          <w:kern w:val="0"/>
          <w:sz w:val="18"/>
          <w:szCs w:val="18"/>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0AA99D26">
      <w:pPr>
        <w:pStyle w:val="15"/>
        <w:keepNext w:val="0"/>
        <w:keepLines w:val="0"/>
        <w:pageBreakBefore w:val="0"/>
        <w:widowControl/>
        <w:suppressLineNumbers w:val="0"/>
        <w:suppressAutoHyphens w:val="0"/>
        <w:spacing w:line="240" w:lineRule="auto"/>
        <w:ind w:firstLine="260"/>
        <w:rPr>
          <w:rFonts w:hint="eastAsia" w:ascii="方正黑体_GBK" w:hAnsi="方正黑体_GBK" w:eastAsia="方正黑体_GBK"/>
          <w:color w:val="3D3D3D"/>
          <w:sz w:val="18"/>
          <w:szCs w:val="18"/>
        </w:rPr>
      </w:pPr>
      <w:r>
        <w:rPr>
          <w:rFonts w:hint="eastAsia" w:ascii="方正黑体_GBK" w:hAnsi="方正黑体_GBK" w:eastAsia="方正黑体_GBK"/>
          <w:color w:val="3D3D3D"/>
          <w:sz w:val="18"/>
          <w:szCs w:val="18"/>
        </w:rPr>
        <w:t>第二条 本理财产品特定风险揭示</w:t>
      </w:r>
    </w:p>
    <w:p w14:paraId="150B36B6">
      <w:pPr>
        <w:spacing w:line="240" w:lineRule="auto"/>
        <w:rPr>
          <w:sz w:val="28"/>
          <w:szCs w:val="28"/>
        </w:rPr>
      </w:pPr>
      <w:r>
        <w:rPr>
          <w:rFonts w:ascii="方正黑体_GBK" w:hAnsi="方正黑体_GBK" w:eastAsia="方正黑体_GBK" w:cs="宋体"/>
          <w:b/>
          <w:sz w:val="18"/>
          <w:szCs w:val="24"/>
        </w:rPr>
        <w:t xml:space="preserve">    1.债券类资产投资风险</w:t>
      </w:r>
    </w:p>
    <w:p w14:paraId="0B7D6CE2">
      <w:pPr>
        <w:spacing w:line="240" w:lineRule="auto"/>
        <w:rPr>
          <w:sz w:val="28"/>
          <w:szCs w:val="28"/>
        </w:rPr>
      </w:pPr>
      <w:r>
        <w:rPr>
          <w:rFonts w:ascii="方正黑体_GBK" w:hAnsi="方正黑体_GBK" w:eastAsia="方正黑体_GBK" w:cs="宋体"/>
          <w:b/>
          <w:sz w:val="18"/>
          <w:szCs w:val="24"/>
        </w:rPr>
        <w:t xml:space="preserve">    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14:paraId="64074F35">
      <w:pPr>
        <w:spacing w:line="240" w:lineRule="auto"/>
        <w:rPr>
          <w:sz w:val="28"/>
          <w:szCs w:val="28"/>
        </w:rPr>
      </w:pPr>
      <w:r>
        <w:rPr>
          <w:rFonts w:ascii="方正黑体_GBK" w:hAnsi="方正黑体_GBK" w:eastAsia="方正黑体_GBK" w:cs="宋体"/>
          <w:b/>
          <w:sz w:val="18"/>
          <w:szCs w:val="24"/>
        </w:rPr>
        <w:t xml:space="preserve">    2.非标准化债权类资产投资风险</w:t>
      </w:r>
    </w:p>
    <w:p w14:paraId="15D63780">
      <w:pPr>
        <w:spacing w:line="240" w:lineRule="auto"/>
        <w:rPr>
          <w:sz w:val="28"/>
          <w:szCs w:val="28"/>
        </w:rPr>
      </w:pPr>
      <w:r>
        <w:rPr>
          <w:rFonts w:ascii="方正黑体_GBK" w:hAnsi="方正黑体_GBK" w:eastAsia="方正黑体_GBK" w:cs="宋体"/>
          <w:b/>
          <w:sz w:val="18"/>
          <w:szCs w:val="24"/>
        </w:rPr>
        <w:t xml:space="preserve">    本理财产品投资于非标准化债权类资产，融资方/义务人由于还款履约能力发生变化等原因，可能无法偿还或存在逾期偿还相关融资本金利息，或无法履行相关合同约定的其他义务，或者因融资方/义务人按照相关合同的约定申请提前/立即偿还款项或者融资方/义务人发生相关合同约定的违约情形，或者由于市场、政策等不可控因素可能导致相关债权被宣布提前/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14:paraId="6E337B88">
      <w:pPr>
        <w:spacing w:line="240" w:lineRule="auto"/>
        <w:rPr>
          <w:sz w:val="28"/>
          <w:szCs w:val="28"/>
        </w:rPr>
      </w:pPr>
      <w:r>
        <w:rPr>
          <w:rFonts w:ascii="方正黑体_GBK" w:hAnsi="方正黑体_GBK" w:eastAsia="方正黑体_GBK" w:cs="宋体"/>
          <w:b/>
          <w:sz w:val="18"/>
          <w:szCs w:val="24"/>
        </w:rPr>
        <w:t xml:space="preserve">    3.资产管理产品投资风险</w:t>
      </w:r>
    </w:p>
    <w:p w14:paraId="5FDAED36">
      <w:pPr>
        <w:spacing w:line="240" w:lineRule="auto"/>
        <w:rPr>
          <w:sz w:val="28"/>
          <w:szCs w:val="28"/>
        </w:rPr>
      </w:pPr>
      <w:r>
        <w:rPr>
          <w:rFonts w:ascii="方正黑体_GBK" w:hAnsi="方正黑体_GBK" w:eastAsia="方正黑体_GBK" w:cs="宋体"/>
          <w:b/>
          <w:sz w:val="18"/>
          <w:szCs w:val="24"/>
        </w:rPr>
        <w:t xml:space="preserve">    本理财产品通过资产管理产品间接投资时，可能因资产管理产品的相关受托人/资产管理人违反法律法规和/或合同约定、未尽受托人/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14:paraId="7FB6AC64">
      <w:pPr>
        <w:spacing w:line="240" w:lineRule="auto"/>
        <w:rPr>
          <w:sz w:val="28"/>
          <w:szCs w:val="28"/>
        </w:rPr>
      </w:pPr>
      <w:r>
        <w:rPr>
          <w:rFonts w:ascii="方正黑体_GBK" w:hAnsi="方正黑体_GBK" w:eastAsia="方正黑体_GBK" w:cs="宋体"/>
          <w:b/>
          <w:sz w:val="18"/>
          <w:szCs w:val="24"/>
        </w:rPr>
        <w:t xml:space="preserve">    4.非标准化债权类资产无法投资的风险</w:t>
      </w:r>
    </w:p>
    <w:p w14:paraId="14C1CBE8">
      <w:pPr>
        <w:spacing w:line="240" w:lineRule="auto"/>
        <w:rPr>
          <w:sz w:val="28"/>
          <w:szCs w:val="28"/>
        </w:rPr>
      </w:pPr>
      <w:r>
        <w:rPr>
          <w:rFonts w:ascii="方正黑体_GBK" w:hAnsi="方正黑体_GBK" w:eastAsia="方正黑体_GBK" w:cs="宋体"/>
          <w:b/>
          <w:sz w:val="18"/>
          <w:szCs w:val="24"/>
        </w:rPr>
        <w:t xml:space="preserve">    若受到市场影响出现融资人临时变更融资要素（如取消该笔资产发行或改变资产的发行时间、资产收益等要素）导致本理财产品无法投资对应资产时，为最大程度保障投资者权益，管理人有权采取如下措施：</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（1）若本理财产品在募集期，则管理人有权决定本理财产品提前结束募集，产品将不成立。此时销售机构将解除对投资者授权指定账户认购资金的冻结或返还认购资金。</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（2）若本理财产品已成立，则管理人有权提前终止本理财产品。</w:t>
      </w:r>
    </w:p>
    <w:p w14:paraId="180833A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第三条</w:t>
      </w:r>
      <w:r>
        <w:rPr>
          <w:rFonts w:ascii="方正黑体_GBK" w:hAnsi="方正黑体_GBK" w:eastAsia="方正黑体_GBK"/>
          <w:b/>
          <w:bCs/>
          <w:vanish w:val="0"/>
          <w:color w:val="3D3D3D"/>
          <w:kern w:val="0"/>
          <w:sz w:val="18"/>
          <w:szCs w:val="16"/>
        </w:rPr>
        <w:t xml:space="preserve"> </w:t>
      </w:r>
      <w:r>
        <w:rPr>
          <w:rFonts w:hint="eastAsia" w:ascii="方正黑体_GBK" w:hAnsi="方正黑体_GBK" w:eastAsia="方正黑体_GBK"/>
          <w:b/>
          <w:bCs/>
          <w:vanish w:val="0"/>
          <w:color w:val="3D3D3D"/>
          <w:kern w:val="0"/>
          <w:sz w:val="18"/>
          <w:szCs w:val="16"/>
        </w:rPr>
        <w:t>本理财产品风险管理措施</w:t>
      </w:r>
    </w:p>
    <w:p w14:paraId="1D7F053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14:paraId="2CCB5C5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14:paraId="1A2F5965">
      <w:pPr>
        <w:pStyle w:val="15"/>
        <w:spacing w:line="240" w:lineRule="auto"/>
        <w:ind w:firstLine="360" w:firstLineChars="200"/>
        <w:rPr>
          <w:rFonts w:hint="eastAsia" w:ascii="方正黑体_GBK" w:hAnsi="方正黑体_GBK" w:eastAsia="方正黑体_GBK"/>
          <w:b/>
          <w:sz w:val="18"/>
          <w:szCs w:val="18"/>
        </w:rPr>
      </w:pPr>
      <w:r>
        <w:rPr>
          <w:rFonts w:hint="eastAsia" w:ascii="方正黑体_GBK" w:hAnsi="方正黑体_GBK" w:eastAsia="方正黑体_GBK" w:cs="Times New Roman"/>
          <w:b/>
          <w:bCs/>
          <w:color w:val="3D3D3D"/>
          <w:sz w:val="18"/>
          <w:szCs w:val="16"/>
          <w:lang w:val="en-US" w:eastAsia="zh-CN"/>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14:paraId="47A5C38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本理财产品</w:t>
      </w:r>
      <w:r>
        <w:rPr>
          <w:rFonts w:hint="eastAsia" w:ascii="方正黑体_GBK" w:hAnsi="方正黑体_GBK" w:eastAsia="方正黑体_GBK"/>
          <w:b/>
          <w:bCs/>
          <w:color w:val="3D3D3D"/>
          <w:kern w:val="0"/>
          <w:sz w:val="18"/>
          <w:szCs w:val="18"/>
        </w:rPr>
        <w:t>类型：封闭式、固定收益类、公募、净值型。</w:t>
      </w:r>
    </w:p>
    <w:p w14:paraId="6925AC5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7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本理财产品期限</w:t>
      </w:r>
      <w:r>
        <w:rPr>
          <w:rFonts w:hint="eastAsia" w:ascii="方正黑体_GBK" w:hAnsi="方正黑体_GBK" w:eastAsia="方正黑体_GBK"/>
          <w:b/>
          <w:bCs w:val="0"/>
          <w:vanish w:val="0"/>
          <w:color w:val="3D3D3D"/>
          <w:kern w:val="0"/>
          <w:sz w:val="18"/>
          <w:szCs w:val="18"/>
        </w:rPr>
        <w:t>为</w:t>
      </w:r>
      <w:r>
        <w:rPr>
          <w:rFonts w:hint="eastAsia" w:ascii="方正黑体_GBK" w:hAnsi="方正黑体_GBK" w:eastAsia="方正黑体_GBK"/>
          <w:b/>
          <w:bCs/>
          <w:color w:val="3D3D3D"/>
          <w:kern w:val="0"/>
          <w:sz w:val="18"/>
          <w:szCs w:val="18"/>
        </w:rPr>
        <w:t>100天</w:t>
      </w:r>
      <w:r>
        <w:rPr>
          <w:rFonts w:hint="eastAsia" w:ascii="方正黑体_GBK" w:hAnsi="方正黑体_GBK" w:eastAsia="方正黑体_GBK"/>
          <w:b/>
          <w:bCs w:val="0"/>
          <w:vanish w:val="0"/>
          <w:color w:val="3D3D3D"/>
          <w:kern w:val="0"/>
          <w:sz w:val="18"/>
          <w:szCs w:val="18"/>
        </w:rPr>
        <w:t>。</w:t>
      </w:r>
    </w:p>
    <w:p w14:paraId="720B2CDB">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本理财产品风险</w:t>
      </w:r>
      <w:r>
        <w:rPr>
          <w:rFonts w:hint="eastAsia" w:ascii="方正黑体_GBK" w:hAnsi="方正黑体_GBK" w:eastAsia="方正黑体_GBK" w:cs="Times New Roman"/>
          <w:b/>
          <w:bCs/>
          <w:vanish w:val="0"/>
          <w:color w:val="3D3D3D"/>
          <w:kern w:val="0"/>
          <w:sz w:val="18"/>
          <w:szCs w:val="18"/>
        </w:rPr>
        <w:t>评级结果</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vanish w:val="0"/>
          <w:color w:val="3D3D3D"/>
          <w:kern w:val="0"/>
          <w:sz w:val="18"/>
          <w:szCs w:val="18"/>
        </w:rPr>
        <w:t>根据管理人内部风险评级，该产品风险等级为</w:t>
      </w:r>
      <w:r>
        <w:rPr>
          <w:rFonts w:hint="eastAsia" w:ascii="方正黑体_GBK" w:hAnsi="方正黑体_GBK" w:eastAsia="方正黑体_GBK" w:cs="Times New Roman"/>
          <w:b/>
          <w:bCs w:val="0"/>
          <w:vanish w:val="0"/>
          <w:color w:val="3D3D3D"/>
          <w:kern w:val="0"/>
          <w:sz w:val="18"/>
          <w:szCs w:val="18"/>
        </w:rPr>
        <w:t>中低风险</w:t>
      </w:r>
      <w:r>
        <w:rPr>
          <w:rFonts w:hint="eastAsia" w:ascii="方正黑体_GBK" w:hAnsi="方正黑体_GBK" w:eastAsia="方正黑体_GBK"/>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 xml:space="preserve"> </w:t>
      </w:r>
      <w:r>
        <w:rPr>
          <w:rFonts w:hint="eastAsia" w:ascii="方正黑体_GBK" w:hAnsi="方正黑体_GBK" w:eastAsia="方正黑体_GBK"/>
          <w:color w:val="3D3D3D"/>
          <w:kern w:val="0"/>
          <w:sz w:val="18"/>
          <w:szCs w:val="18"/>
        </w:rPr>
        <w:t>管理人不承诺本金保障，产品收益随投资表现变动，产品存在较低的本金损失风险</w:t>
      </w:r>
      <w:r>
        <w:rPr>
          <w:rFonts w:hint="eastAsia" w:ascii="方正黑体_GBK" w:hAnsi="方正黑体_GBK" w:eastAsia="方正黑体_GBK"/>
          <w:vanish w:val="0"/>
          <w:color w:val="3D3D3D"/>
          <w:kern w:val="0"/>
          <w:sz w:val="18"/>
          <w:szCs w:val="18"/>
        </w:rPr>
        <w:t>。</w:t>
      </w:r>
    </w:p>
    <w:p w14:paraId="0BB605AD">
      <w:pPr>
        <w:pStyle w:val="28"/>
        <w:pBdr>
          <w:top w:val="none" w:color="auto" w:sz="0" w:space="0"/>
          <w:left w:val="none" w:color="auto" w:sz="0" w:space="0"/>
          <w:bottom w:val="none" w:color="auto" w:sz="0" w:space="0"/>
          <w:right w:val="none" w:color="auto" w:sz="0" w:space="0"/>
        </w:pBdr>
        <w:spacing w:line="240" w:lineRule="auto"/>
        <w:ind w:firstLine="360" w:firstLineChars="200"/>
        <w:rPr>
          <w:rFonts w:ascii="方正黑体_GBK" w:hAnsi="方正黑体_GBK" w:eastAsia="方正黑体_GBK"/>
          <w:b/>
          <w:bCs/>
          <w:vanish w:val="0"/>
          <w:color w:val="3D3D3D"/>
          <w:sz w:val="18"/>
          <w:szCs w:val="16"/>
        </w:rPr>
      </w:pPr>
      <w:r>
        <w:rPr>
          <w:rFonts w:ascii="方正黑体_GBK" w:hAnsi="方正黑体_GBK" w:eastAsia="方正黑体_GBK" w:cs="Times New Roman"/>
          <w:b/>
          <w:bCs/>
          <w:vanish w:val="0"/>
          <w:color w:val="3D3D3D"/>
          <w:sz w:val="18"/>
          <w:szCs w:val="16"/>
        </w:rPr>
        <w:t>产品存续期内，管理人可能根据市场变化对产品风险等级进行动态评估和调整，并及时告知销售机构和投资者。</w:t>
      </w:r>
    </w:p>
    <w:p w14:paraId="2D7281FA">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本风险等级为南银理财风险评级结果，</w:t>
      </w:r>
      <w:r>
        <w:rPr>
          <w:rFonts w:hint="eastAsia" w:ascii="方正黑体_GBK" w:hAnsi="方正黑体_GBK" w:eastAsia="方正黑体_GBK" w:cs="Times New Roman"/>
          <w:b/>
          <w:bCs/>
          <w:vanish w:val="0"/>
          <w:color w:val="3D3D3D"/>
          <w:kern w:val="0"/>
          <w:sz w:val="18"/>
          <w:szCs w:val="18"/>
        </w:rPr>
        <w:t>该产品通过代理销售机构渠道销售的，理财产品评级应当以代理销售机构最终披露的评级结果为准。</w:t>
      </w:r>
      <w:r>
        <w:rPr>
          <w:rFonts w:hint="eastAsia" w:ascii="方正黑体_GBK" w:hAnsi="方正黑体_GBK" w:eastAsia="方正黑体_GBK" w:cs="Times New Roman"/>
          <w:vanish w:val="0"/>
          <w:color w:val="3D3D3D"/>
          <w:kern w:val="0"/>
          <w:sz w:val="18"/>
          <w:szCs w:val="18"/>
        </w:rPr>
        <w:t>您需充分认识投资风险，谨慎投资。</w:t>
      </w:r>
    </w:p>
    <w:p w14:paraId="2E045AF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hint="eastAsia" w:ascii="方正黑体_GBK" w:hAnsi="方正黑体_GBK" w:eastAsia="方正黑体_GBK"/>
          <w:bCs/>
          <w:color w:val="3D3D3D"/>
          <w:kern w:val="0"/>
          <w:sz w:val="18"/>
          <w:szCs w:val="18"/>
        </w:rPr>
      </w:pPr>
      <w:r>
        <w:rPr>
          <w:rFonts w:hint="eastAsia" w:ascii="方正黑体_GBK" w:hAnsi="方正黑体_GBK" w:eastAsia="方正黑体_GBK" w:cs="Times New Roman"/>
          <w:b/>
          <w:bCs/>
          <w:vanish w:val="0"/>
          <w:color w:val="3D3D3D"/>
          <w:kern w:val="0"/>
          <w:sz w:val="18"/>
          <w:szCs w:val="18"/>
        </w:rPr>
        <w:t>适合购买本理财产品的投资者</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color w:val="3D3D3D"/>
          <w:kern w:val="0"/>
          <w:sz w:val="18"/>
          <w:szCs w:val="18"/>
        </w:rPr>
        <w:t>符合相关法律法规、监管规定要求的，经销售机构的风险承受能力评估体系评定为适合的个人和机构投资者。</w:t>
      </w:r>
    </w:p>
    <w:p w14:paraId="64221ED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普通投资者在首次通过销售机构购买理财产品时应根据销售机构的要求进行风险承受能力评估。如影响您风险承受能力的因素发生变化，请及时完成风险承受能力评估。</w:t>
      </w:r>
    </w:p>
    <w:p w14:paraId="7B27F91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vanish w:val="0"/>
          <w:sz w:val="18"/>
          <w:szCs w:val="18"/>
        </w:rPr>
      </w:pPr>
      <w:r>
        <w:rPr>
          <w:rFonts w:hint="eastAsia" w:ascii="方正黑体_GBK" w:hAnsi="方正黑体_GBK" w:eastAsia="方正黑体_GBK"/>
          <w:b/>
          <w:bCs/>
          <w:vanish w:val="0"/>
          <w:color w:val="3D3D3D"/>
          <w:kern w:val="0"/>
          <w:sz w:val="18"/>
          <w:szCs w:val="18"/>
        </w:rPr>
        <w:t>最不利投资情形下的投资结果：若投资者认购或申购本理财产品，最不利情况下，投资组合内所有资产均发生以上所述的风险事件，且投资组合内所有资产均发生全额损失，则投资者赎回或到期收到款项为0，即投资者面临全部本金的损失。为保证当期理财投资者权益而产生的费用由当期理财产品承担。</w:t>
      </w:r>
    </w:p>
    <w:p w14:paraId="0251200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color w:val="3D3D3D"/>
          <w:sz w:val="18"/>
          <w:szCs w:val="18"/>
          <w:lang w:val="en-US" w:eastAsia="zh-CN"/>
        </w:rPr>
        <w:t>示例：如投资者购买本理财产品，本金为</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万元，在理财产品资产组合项下资产全部亏损的最不利情况下，理财产品</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万元本金将全部损失。</w:t>
      </w:r>
    </w:p>
    <w:p w14:paraId="7E6D782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cs="Times New Roman"/>
          <w:b/>
          <w:bCs w:val="0"/>
          <w:vanish w:val="0"/>
          <w:color w:val="3D3D3D"/>
          <w:kern w:val="0"/>
          <w:sz w:val="18"/>
          <w:szCs w:val="18"/>
        </w:rPr>
      </w:pPr>
    </w:p>
    <w:p w14:paraId="37A7016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上述风险客观存在，敬请投资者予以充分关注！</w:t>
      </w:r>
    </w:p>
    <w:p w14:paraId="178B99C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p>
    <w:p w14:paraId="11DD889D">
      <w:pPr>
        <w:pStyle w:val="15"/>
        <w:keepNext w:val="0"/>
        <w:keepLines w:val="0"/>
        <w:pageBreakBefore w:val="0"/>
        <w:widowControl/>
        <w:suppressLineNumbers w:val="0"/>
        <w:suppressAutoHyphens w:val="0"/>
        <w:spacing w:line="240" w:lineRule="auto"/>
        <w:ind w:firstLine="260"/>
        <w:jc w:val="left"/>
        <w:rPr>
          <w:rFonts w:hint="eastAsia" w:ascii="方正黑体_GBK" w:hAnsi="方正黑体_GBK" w:eastAsia="方正黑体_GBK"/>
          <w:b/>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ascii="方正黑体_GBK" w:hAnsi="方正黑体_GBK" w:eastAsia="方正黑体_GBK"/>
          <w:b/>
          <w:bCs w:val="0"/>
          <w:vanish w:val="0"/>
          <w:color w:val="3D3D3D"/>
          <w:kern w:val="0"/>
          <w:sz w:val="20"/>
          <w:szCs w:val="20"/>
          <w:u w:val="single"/>
        </w:rPr>
        <w:t>本风险揭示书</w:t>
      </w:r>
      <w:r>
        <w:rPr>
          <w:rFonts w:hint="eastAsia" w:ascii="方正黑体_GBK" w:hAnsi="方正黑体_GBK" w:eastAsia="方正黑体_GBK" w:cs="Times New Roman"/>
          <w:b/>
          <w:bCs w:val="0"/>
          <w:vanish w:val="0"/>
          <w:color w:val="3D3D3D"/>
          <w:kern w:val="0"/>
          <w:sz w:val="20"/>
          <w:szCs w:val="20"/>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14:paraId="675FB92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投资者声明：</w:t>
      </w:r>
    </w:p>
    <w:p w14:paraId="393C848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1.</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购买本理财产品为本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真实的意思表示</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并认为该理财产品完全适合本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的投资目标、投资预期以及风险承受能力，本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自愿承担由此带来的一切后果。本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确认南银理财</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销售机构相关业务人员对于理财产品销售文件中限制或排除本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权利、增加或加重本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义务或责任以及有关免除或减轻南银理财责任或南银理财单方面拥有某些权利的条款已向本</w:t>
      </w:r>
      <w:r>
        <w:rPr>
          <w:rFonts w:hint="eastAsia" w:ascii="方正黑体_GBK" w:hAnsi="方正黑体_GBK" w:eastAsia="方正黑体_GBK" w:cs="Times New Roman"/>
          <w:b/>
          <w:bCs w:val="0"/>
          <w:color w:val="3D3D3D"/>
          <w:sz w:val="20"/>
          <w:szCs w:val="20"/>
          <w:u w:val="single"/>
          <w:lang w:val="en-US" w:eastAsia="zh-CN"/>
        </w:rPr>
        <w:t>投资者</w:t>
      </w:r>
      <w:r>
        <w:rPr>
          <w:rFonts w:hint="eastAsia" w:ascii="方正黑体_GBK" w:hAnsi="方正黑体_GBK" w:eastAsia="方正黑体_GBK" w:cs="Times New Roman"/>
          <w:b/>
          <w:bCs w:val="0"/>
          <w:vanish w:val="0"/>
          <w:color w:val="3D3D3D"/>
          <w:kern w:val="0"/>
          <w:sz w:val="20"/>
          <w:szCs w:val="20"/>
          <w:u w:val="single"/>
        </w:rPr>
        <w:t>予以说明，本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已完全理解并自愿接受。</w:t>
      </w:r>
    </w:p>
    <w:p w14:paraId="4CDCDBB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2.</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确认，将向本理财产品销售机构真实提供信息，自主作出认购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申购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赎回等决定，自主承担投资风险。本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拒绝向销售机构提供或者未按照要求提供信息的，销售机构有权告知本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相应的后果和责任，并有权拒绝向本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提供销售服务。</w:t>
      </w:r>
    </w:p>
    <w:p w14:paraId="50B15FD4">
      <w:pPr>
        <w:keepNext w:val="0"/>
        <w:keepLines w:val="0"/>
        <w:pageBreakBefore w:val="0"/>
        <w:widowControl/>
        <w:suppressLineNumbers w:val="0"/>
        <w:suppressAutoHyphens w:val="0"/>
        <w:spacing w:line="240" w:lineRule="auto"/>
        <w:ind w:firstLine="420"/>
        <w:rPr>
          <w:rFonts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3.</w:t>
      </w:r>
      <w:r>
        <w:rPr>
          <w:rFonts w:hint="eastAsia" w:ascii="方正黑体_GBK" w:hAnsi="方正黑体_GBK" w:eastAsia="方正黑体_GBK" w:cs="Times New Roman"/>
          <w:b/>
          <w:bCs w:val="0"/>
          <w:vanish w:val="0"/>
          <w:color w:val="3D3D3D"/>
          <w:kern w:val="0"/>
          <w:sz w:val="20"/>
          <w:szCs w:val="20"/>
          <w:u w:val="single"/>
        </w:rPr>
        <w:t>本投资者确认，投资本理财产品的资金非贷款、发行债券等募集的非自有资金。</w:t>
      </w:r>
    </w:p>
    <w:p w14:paraId="443E51BC">
      <w:pPr>
        <w:keepNext w:val="0"/>
        <w:keepLines w:val="0"/>
        <w:pageBreakBefore w:val="0"/>
        <w:widowControl/>
        <w:suppressLineNumbers w:val="0"/>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4.</w:t>
      </w:r>
      <w:r>
        <w:rPr>
          <w:rFonts w:hint="eastAsia" w:ascii="方正黑体_GBK" w:hAnsi="方正黑体_GBK" w:eastAsia="方正黑体_GBK" w:cs="Times New Roman"/>
          <w:b/>
          <w:bCs w:val="0"/>
          <w:vanish w:val="0"/>
          <w:color w:val="3D3D3D"/>
          <w:kern w:val="0"/>
          <w:sz w:val="20"/>
          <w:szCs w:val="20"/>
          <w:u w:val="single"/>
        </w:rPr>
        <w:t>本投资者在购买本理财产品前已完成风险承受能力评估，且该评估结果具有效力。本投资者的风险评级结果为    （低、 中低、中、中高、高）。如果影响本投资者风险承受能力的因素发生变化，本投资者将及时完成风险承受能力评估，否则由此产生的责任和风险由本投资者自行承担。</w:t>
      </w:r>
    </w:p>
    <w:p w14:paraId="4B01F31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rPr>
        <w:t>5.</w:t>
      </w:r>
      <w:r>
        <w:rPr>
          <w:rFonts w:hint="eastAsia" w:ascii="方正黑体_GBK" w:hAnsi="方正黑体_GBK" w:eastAsia="方正黑体_GBK"/>
          <w:b/>
          <w:bCs w:val="0"/>
          <w:vanish w:val="0"/>
          <w:color w:val="3D3D3D"/>
          <w:kern w:val="0"/>
          <w:sz w:val="20"/>
          <w:szCs w:val="20"/>
          <w:u w:val="single"/>
        </w:rPr>
        <w:t>本投资者已认真阅读并充分理解本风险揭示书</w:t>
      </w:r>
      <w:r>
        <w:rPr>
          <w:rFonts w:hint="eastAsia" w:ascii="方正黑体_GBK" w:hAnsi="方正黑体_GBK" w:eastAsia="方正黑体_GBK" w:cs="Times New Roman"/>
          <w:b/>
          <w:bCs w:val="0"/>
          <w:vanish w:val="0"/>
          <w:color w:val="3D3D3D"/>
          <w:kern w:val="0"/>
          <w:sz w:val="20"/>
          <w:szCs w:val="20"/>
          <w:u w:val="single"/>
        </w:rPr>
        <w:t>及对应期次</w:t>
      </w:r>
      <w:r>
        <w:rPr>
          <w:rFonts w:hint="eastAsia" w:ascii="方正黑体_GBK" w:hAnsi="方正黑体_GBK" w:eastAsia="方正黑体_GBK"/>
          <w:b/>
          <w:bCs w:val="0"/>
          <w:vanish w:val="0"/>
          <w:color w:val="3D3D3D"/>
          <w:kern w:val="0"/>
          <w:sz w:val="20"/>
          <w:szCs w:val="20"/>
          <w:u w:val="single"/>
        </w:rPr>
        <w:t>《理财产品销售协议书》《理财产品说明书》《投资者权益须知》</w:t>
      </w:r>
      <w:r>
        <w:rPr>
          <w:rFonts w:hint="eastAsia" w:ascii="方正黑体_GBK" w:hAnsi="方正黑体_GBK" w:eastAsia="方正黑体_GBK" w:cs="Times New Roman"/>
          <w:b/>
          <w:bCs w:val="0"/>
          <w:vanish w:val="0"/>
          <w:color w:val="3D3D3D"/>
          <w:kern w:val="0"/>
          <w:sz w:val="20"/>
          <w:szCs w:val="20"/>
          <w:u w:val="single"/>
        </w:rPr>
        <w:t>《理财产品投资协议书》等理财产品销售文件</w:t>
      </w:r>
      <w:r>
        <w:rPr>
          <w:rFonts w:hint="eastAsia" w:ascii="方正黑体_GBK" w:hAnsi="方正黑体_GBK" w:eastAsia="方正黑体_GBK"/>
          <w:b/>
          <w:bCs w:val="0"/>
          <w:vanish w:val="0"/>
          <w:color w:val="3D3D3D"/>
          <w:kern w:val="0"/>
          <w:sz w:val="20"/>
          <w:szCs w:val="20"/>
          <w:u w:val="single"/>
        </w:rPr>
        <w:t>的全部条款与内容，</w:t>
      </w:r>
      <w:r>
        <w:rPr>
          <w:rFonts w:hint="eastAsia" w:ascii="方正黑体_GBK" w:hAnsi="方正黑体_GBK" w:eastAsia="方正黑体_GBK" w:cs="Times New Roman"/>
          <w:b/>
          <w:bCs w:val="0"/>
          <w:vanish w:val="0"/>
          <w:color w:val="3D3D3D"/>
          <w:kern w:val="0"/>
          <w:sz w:val="20"/>
          <w:szCs w:val="20"/>
          <w:u w:val="single"/>
        </w:rPr>
        <w:t>完全清楚理财产品购买流程、风险评估、产品评级含义、信息披露方式及渠道、南银理财及销售机构联系方式及投诉程序等内容，</w:t>
      </w:r>
      <w:r>
        <w:rPr>
          <w:rFonts w:hint="eastAsia" w:ascii="方正黑体_GBK" w:hAnsi="方正黑体_GBK" w:eastAsia="方正黑体_GBK"/>
          <w:b/>
          <w:bCs w:val="0"/>
          <w:vanish w:val="0"/>
          <w:color w:val="3D3D3D"/>
          <w:kern w:val="0"/>
          <w:sz w:val="20"/>
          <w:szCs w:val="20"/>
          <w:u w:val="single"/>
        </w:rPr>
        <w:t>充分了解履行上述文件的责任，具有识别及承担相关风险的能力，充分了解本理财产品的风险并愿意承担相关风险。</w:t>
      </w:r>
    </w:p>
    <w:p w14:paraId="55BC350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6.</w:t>
      </w:r>
      <w:r>
        <w:rPr>
          <w:rFonts w:hint="eastAsia" w:ascii="方正黑体_GBK" w:hAnsi="方正黑体_GBK" w:eastAsia="方正黑体_GBK" w:cs="Times New Roman"/>
          <w:b/>
          <w:bCs w:val="0"/>
          <w:vanish w:val="0"/>
          <w:color w:val="3D3D3D"/>
          <w:kern w:val="0"/>
          <w:sz w:val="20"/>
          <w:szCs w:val="20"/>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14:paraId="0175AA3E">
      <w:pPr>
        <w:keepNext w:val="0"/>
        <w:keepLines w:val="0"/>
        <w:pageBreakBefore w:val="0"/>
        <w:widowControl/>
        <w:suppressLineNumbers w:val="0"/>
        <w:suppressAutoHyphens w:val="0"/>
        <w:spacing w:line="240" w:lineRule="auto"/>
        <w:ind w:firstLine="420"/>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7.</w:t>
      </w:r>
      <w:r>
        <w:rPr>
          <w:rFonts w:hint="eastAsia" w:ascii="方正黑体_GBK" w:hAnsi="方正黑体_GBK" w:eastAsia="方正黑体_GBK" w:cs="Times New Roman"/>
          <w:b/>
          <w:bCs w:val="0"/>
          <w:vanish w:val="0"/>
          <w:color w:val="3D3D3D"/>
          <w:kern w:val="0"/>
          <w:sz w:val="20"/>
          <w:szCs w:val="20"/>
          <w:u w:val="single"/>
        </w:rPr>
        <w:t>如销售机构为管理人关联方的，本</w:t>
      </w:r>
      <w:r>
        <w:rPr>
          <w:rFonts w:hint="eastAsia" w:ascii="方正黑体_GBK" w:hAnsi="方正黑体_GBK" w:eastAsia="方正黑体_GBK"/>
          <w:b/>
          <w:bCs w:val="0"/>
          <w:vanish w:val="0"/>
          <w:color w:val="3D3D3D"/>
          <w:kern w:val="0"/>
          <w:sz w:val="20"/>
          <w:szCs w:val="20"/>
          <w:u w:val="single"/>
        </w:rPr>
        <w:t>投资者认可此等关联方及关联交易情形的存在并自愿承担相关投资风险。</w:t>
      </w:r>
    </w:p>
    <w:p w14:paraId="64AD3343">
      <w:pPr>
        <w:keepNext w:val="0"/>
        <w:keepLines w:val="0"/>
        <w:pageBreakBefore w:val="0"/>
        <w:widowControl/>
        <w:suppressLineNumbers w:val="0"/>
        <w:suppressAutoHyphens w:val="0"/>
        <w:spacing w:line="240" w:lineRule="auto"/>
        <w:ind w:firstLine="420"/>
        <w:rPr>
          <w:rFonts w:ascii="方正黑体_GBK" w:hAnsi="方正黑体_GBK" w:eastAsia="方正黑体_GBK"/>
          <w:vanish w:val="0"/>
          <w:color w:val="3D3D3D"/>
          <w:kern w:val="0"/>
          <w:sz w:val="20"/>
          <w:szCs w:val="20"/>
          <w:u w:val="single"/>
        </w:rPr>
      </w:pPr>
      <w:r>
        <w:rPr>
          <w:rFonts w:hint="eastAsia" w:ascii="方正黑体_GBK" w:hAnsi="方正黑体_GBK" w:eastAsia="方正黑体_GBK"/>
          <w:vanish w:val="0"/>
          <w:color w:val="3D3D3D"/>
          <w:kern w:val="0"/>
          <w:sz w:val="20"/>
          <w:szCs w:val="20"/>
        </w:rPr>
        <w:t>8.以下划线部分，请投资者抄录确认：</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b/>
          <w:bCs w:val="0"/>
          <w:vanish w:val="0"/>
          <w:color w:val="3D3D3D"/>
          <w:kern w:val="0"/>
          <w:sz w:val="20"/>
          <w:szCs w:val="20"/>
          <w:u w:val="single"/>
        </w:rPr>
        <w:t>本人已经阅读风险揭示，愿意承担投资风险</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vanish w:val="0"/>
          <w:color w:val="3D3D3D"/>
          <w:kern w:val="0"/>
          <w:sz w:val="20"/>
          <w:szCs w:val="20"/>
        </w:rPr>
        <w:t>。</w:t>
      </w:r>
    </w:p>
    <w:p w14:paraId="5C53665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 xml:space="preserve">         </w:t>
      </w:r>
    </w:p>
    <w:p w14:paraId="5692C2B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p>
    <w:p w14:paraId="3DBC231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投资者抄录：</w:t>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p>
    <w:p w14:paraId="161080D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18"/>
          <w:szCs w:val="18"/>
        </w:rPr>
      </w:pPr>
    </w:p>
    <w:p w14:paraId="06AD773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p w14:paraId="0F6DD09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tbl>
      <w:tblPr>
        <w:tblStyle w:val="12"/>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287"/>
      </w:tblGrid>
      <w:tr w14:paraId="106099DA">
        <w:trPr>
          <w:trHeight w:val="534"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675ADD7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b/>
                <w:bCs w:val="0"/>
                <w:vanish w:val="0"/>
                <w:kern w:val="2"/>
                <w:sz w:val="20"/>
                <w:szCs w:val="20"/>
              </w:rPr>
            </w:pPr>
            <w:r>
              <w:rPr>
                <w:rFonts w:hint="eastAsia" w:ascii="方正黑体_GBK" w:hAnsi="方正黑体_GBK" w:eastAsia="方正黑体_GBK"/>
                <w:b/>
                <w:bCs w:val="0"/>
                <w:vanish w:val="0"/>
                <w:kern w:val="2"/>
                <w:sz w:val="20"/>
                <w:szCs w:val="20"/>
              </w:rPr>
              <w:t>个人投资者</w:t>
            </w:r>
          </w:p>
        </w:tc>
      </w:tr>
      <w:tr w14:paraId="6C8CE057">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23F7A4DA">
            <w:pPr>
              <w:keepNext w:val="0"/>
              <w:keepLines w:val="0"/>
              <w:pageBreakBefore w:val="0"/>
              <w:widowControl/>
              <w:suppressLineNumbers w:val="0"/>
              <w:suppressAutoHyphens w:val="0"/>
              <w:spacing w:after="0" w:afterAutospacing="0" w:line="240" w:lineRule="auto"/>
              <w:ind w:left="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auto"/>
                <w:kern w:val="2"/>
                <w:sz w:val="20"/>
                <w:szCs w:val="20"/>
              </w:rPr>
              <w:t>签名：</w:t>
            </w:r>
          </w:p>
          <w:p w14:paraId="7CE8783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180" w:firstLineChars="100"/>
              <w:rPr>
                <w:rFonts w:ascii="方正黑体_GBK" w:hAnsi="方正黑体_GBK" w:eastAsia="方正黑体_GBK"/>
                <w:vanish w:val="0"/>
                <w:color w:val="auto"/>
                <w:kern w:val="2"/>
                <w:sz w:val="20"/>
                <w:szCs w:val="20"/>
              </w:rPr>
            </w:pP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222ADCB6">
        <w:trPr>
          <w:trHeight w:val="57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1E604EB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3D3D3D"/>
                <w:kern w:val="0"/>
                <w:sz w:val="20"/>
                <w:szCs w:val="20"/>
              </w:rPr>
              <w:t>机构投资者</w:t>
            </w:r>
          </w:p>
        </w:tc>
      </w:tr>
      <w:tr w14:paraId="4850994A">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0F0FDD2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4C3CAFD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盖章（公章）</w:t>
            </w:r>
          </w:p>
          <w:p w14:paraId="3E5C2BA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3337D1D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法定代表人或授权代理人（</w:t>
            </w:r>
            <w:r>
              <w:rPr>
                <w:rFonts w:hint="eastAsia" w:ascii="方正黑体_GBK" w:hAnsi="方正黑体_GBK" w:eastAsia="方正黑体_GBK" w:cs="Times New Roman"/>
                <w:b/>
                <w:bCs/>
                <w:vanish w:val="0"/>
                <w:color w:val="3D3D3D"/>
                <w:kern w:val="0"/>
                <w:sz w:val="20"/>
                <w:szCs w:val="20"/>
              </w:rPr>
              <w:t>签名</w:t>
            </w:r>
            <w:r>
              <w:rPr>
                <w:rFonts w:hint="eastAsia" w:ascii="方正黑体_GBK" w:hAnsi="方正黑体_GBK" w:eastAsia="方正黑体_GBK"/>
                <w:b/>
                <w:bCs/>
                <w:vanish w:val="0"/>
                <w:color w:val="3D3D3D"/>
                <w:kern w:val="0"/>
                <w:sz w:val="20"/>
                <w:szCs w:val="20"/>
              </w:rPr>
              <w:t>或盖章）：</w:t>
            </w:r>
            <w:r>
              <w:rPr>
                <w:rFonts w:ascii="方正黑体_GBK" w:hAnsi="方正黑体_GBK" w:eastAsia="方正黑体_GBK"/>
                <w:b/>
                <w:bCs/>
                <w:vanish w:val="0"/>
                <w:color w:val="3D3D3D"/>
                <w:kern w:val="0"/>
                <w:sz w:val="20"/>
                <w:szCs w:val="20"/>
              </w:rPr>
              <w:t xml:space="preserve"> </w:t>
            </w:r>
            <w:r>
              <w:rPr>
                <w:rFonts w:ascii="方正黑体_GBK" w:hAnsi="方正黑体_GBK" w:eastAsia="方正黑体_GBK"/>
                <w:b/>
                <w:bCs/>
                <w:vanish w:val="0"/>
                <w:color w:val="3D3D3D"/>
                <w:kern w:val="0"/>
                <w:sz w:val="20"/>
                <w:szCs w:val="20"/>
              </w:rPr>
              <w:tab/>
            </w:r>
          </w:p>
          <w:p w14:paraId="6547AF9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3D3D3D"/>
                <w:kern w:val="0"/>
                <w:sz w:val="18"/>
                <w:szCs w:val="18"/>
              </w:rPr>
            </w:pPr>
          </w:p>
          <w:p w14:paraId="6A496E6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auto"/>
                <w:kern w:val="2"/>
                <w:sz w:val="20"/>
                <w:szCs w:val="20"/>
              </w:rPr>
            </w:pP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1807A3CF">
        <w:trPr>
          <w:trHeight w:val="61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0A1FB9D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auto"/>
                <w:kern w:val="2"/>
                <w:sz w:val="20"/>
                <w:szCs w:val="20"/>
              </w:rPr>
              <w:t>电子</w:t>
            </w:r>
            <w:r>
              <w:rPr>
                <w:rFonts w:hint="eastAsia" w:ascii="方正黑体_GBK" w:hAnsi="方正黑体_GBK" w:eastAsia="方正黑体_GBK" w:cs="Times New Roman"/>
                <w:b/>
                <w:bCs/>
                <w:vanish w:val="0"/>
                <w:color w:val="auto"/>
                <w:kern w:val="2"/>
                <w:sz w:val="20"/>
                <w:szCs w:val="20"/>
              </w:rPr>
              <w:t>渠道</w:t>
            </w:r>
          </w:p>
        </w:tc>
      </w:tr>
      <w:tr w14:paraId="5CFFF831">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3993187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400" w:firstLineChars="200"/>
              <w:rPr>
                <w:rFonts w:ascii="方正黑体_GBK" w:hAnsi="方正黑体_GBK" w:eastAsia="方正黑体_GBK"/>
                <w:vanish w:val="0"/>
                <w:color w:val="auto"/>
                <w:kern w:val="2"/>
                <w:sz w:val="20"/>
                <w:szCs w:val="20"/>
              </w:rPr>
            </w:pPr>
            <w:r>
              <w:rPr>
                <w:rFonts w:hint="eastAsia" w:ascii="方正黑体_GBK" w:hAnsi="方正黑体_GBK" w:eastAsia="方正黑体_GBK"/>
                <w:b/>
                <w:bCs w:val="0"/>
                <w:vanish w:val="0"/>
                <w:color w:val="3D3D3D"/>
                <w:kern w:val="0"/>
                <w:sz w:val="20"/>
                <w:szCs w:val="20"/>
                <w:u w:val="single"/>
              </w:rPr>
              <w:t>如投资者通过电子</w:t>
            </w:r>
            <w:r>
              <w:rPr>
                <w:rFonts w:hint="eastAsia" w:ascii="方正黑体_GBK" w:hAnsi="方正黑体_GBK" w:eastAsia="方正黑体_GBK" w:cs="Times New Roman"/>
                <w:b/>
                <w:bCs w:val="0"/>
                <w:vanish w:val="0"/>
                <w:color w:val="3D3D3D"/>
                <w:kern w:val="0"/>
                <w:sz w:val="20"/>
                <w:szCs w:val="20"/>
                <w:u w:val="single"/>
              </w:rPr>
              <w:t>渠道</w:t>
            </w:r>
            <w:r>
              <w:rPr>
                <w:rFonts w:hint="eastAsia" w:ascii="方正黑体_GBK" w:hAnsi="方正黑体_GBK" w:eastAsia="方正黑体_GBK"/>
                <w:b/>
                <w:bCs w:val="0"/>
                <w:vanish w:val="0"/>
                <w:color w:val="3D3D3D"/>
                <w:kern w:val="0"/>
                <w:sz w:val="20"/>
                <w:szCs w:val="20"/>
                <w:u w:val="single"/>
              </w:rPr>
              <w:t>（包括但不限于网上银行、手机银行或官方网站等）购买本理财产品的，</w:t>
            </w:r>
            <w:r>
              <w:rPr>
                <w:rFonts w:hint="eastAsia" w:ascii="方正黑体_GBK" w:hAnsi="方正黑体_GBK" w:eastAsia="方正黑体_GBK"/>
                <w:vanish w:val="0"/>
                <w:spacing w:val="10"/>
                <w:kern w:val="2"/>
                <w:sz w:val="20"/>
                <w:szCs w:val="20"/>
              </w:rPr>
              <w:t>本风险揭示书以数据电文形式订立，</w:t>
            </w:r>
            <w:r>
              <w:rPr>
                <w:rFonts w:hint="eastAsia" w:ascii="方正黑体_GBK" w:hAnsi="方正黑体_GBK" w:eastAsia="方正黑体_GBK"/>
                <w:b/>
                <w:bCs w:val="0"/>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ascii="方正黑体_GBK" w:hAnsi="方正黑体_GBK" w:eastAsia="方正黑体_GBK"/>
                <w:b/>
                <w:bCs w:val="0"/>
                <w:vanish w:val="0"/>
                <w:color w:val="3D3D3D"/>
                <w:kern w:val="0"/>
                <w:sz w:val="20"/>
                <w:szCs w:val="20"/>
                <w:u w:val="single"/>
              </w:rPr>
              <w:t>即视为</w:t>
            </w:r>
            <w:r>
              <w:rPr>
                <w:rFonts w:hint="eastAsia" w:ascii="方正黑体_GBK" w:hAnsi="方正黑体_GBK" w:eastAsia="方正黑体_GBK" w:cs="Times New Roman"/>
                <w:b/>
                <w:bCs w:val="0"/>
                <w:vanish w:val="0"/>
                <w:color w:val="3D3D3D"/>
                <w:kern w:val="0"/>
                <w:sz w:val="20"/>
                <w:szCs w:val="20"/>
                <w:u w:val="single"/>
              </w:rPr>
              <w:t>投资者</w:t>
            </w:r>
            <w:r>
              <w:rPr>
                <w:rFonts w:hint="eastAsia" w:ascii="方正黑体_GBK" w:hAnsi="方正黑体_GBK" w:eastAsia="方正黑体_GBK"/>
                <w:b/>
                <w:bCs w:val="0"/>
                <w:vanish w:val="0"/>
                <w:color w:val="3D3D3D"/>
                <w:kern w:val="0"/>
                <w:sz w:val="20"/>
                <w:szCs w:val="20"/>
                <w:u w:val="single"/>
              </w:rPr>
              <w:t>确认其符合本理财产品的风险等级并自愿承担投资风险。</w:t>
            </w:r>
            <w:r>
              <w:rPr>
                <w:rFonts w:hint="eastAsia" w:ascii="方正黑体_GBK" w:hAnsi="方正黑体_GBK" w:eastAsia="方正黑体_GBK"/>
                <w:vanish w:val="0"/>
                <w:spacing w:val="10"/>
                <w:kern w:val="2"/>
                <w:sz w:val="20"/>
                <w:szCs w:val="20"/>
              </w:rPr>
              <w:t>电子</w:t>
            </w:r>
            <w:r>
              <w:rPr>
                <w:rFonts w:hint="eastAsia" w:ascii="方正黑体_GBK" w:hAnsi="方正黑体_GBK" w:eastAsia="方正黑体_GBK" w:cs="Times New Roman"/>
                <w:vanish w:val="0"/>
                <w:spacing w:val="10"/>
                <w:kern w:val="2"/>
                <w:sz w:val="20"/>
                <w:szCs w:val="20"/>
              </w:rPr>
              <w:t>渠道</w:t>
            </w:r>
            <w:r>
              <w:rPr>
                <w:rFonts w:hint="eastAsia" w:ascii="方正黑体_GBK" w:hAnsi="方正黑体_GBK" w:eastAsia="方正黑体_GBK"/>
                <w:vanish w:val="0"/>
                <w:spacing w:val="10"/>
                <w:kern w:val="2"/>
                <w:sz w:val="20"/>
                <w:szCs w:val="20"/>
              </w:rPr>
              <w:t>所生成和保留记载的相关电子数据及交易记录以及南银理财、</w:t>
            </w:r>
            <w:r>
              <w:rPr>
                <w:rFonts w:hint="eastAsia" w:ascii="方正黑体_GBK" w:hAnsi="方正黑体_GBK" w:eastAsia="方正黑体_GBK" w:cs="Times New Roman"/>
                <w:vanish w:val="0"/>
                <w:spacing w:val="10"/>
                <w:kern w:val="2"/>
                <w:sz w:val="20"/>
                <w:szCs w:val="20"/>
              </w:rPr>
              <w:t>销售机构</w:t>
            </w:r>
            <w:r>
              <w:rPr>
                <w:rFonts w:hint="eastAsia" w:ascii="方正黑体_GBK" w:hAnsi="方正黑体_GBK" w:eastAsia="方正黑体_GBK"/>
                <w:vanish w:val="0"/>
                <w:spacing w:val="10"/>
                <w:kern w:val="2"/>
                <w:sz w:val="20"/>
                <w:szCs w:val="20"/>
              </w:rPr>
              <w:t>、托管机构制作或保留的相关电子及纸质单据、凭证、记录等相关资料</w:t>
            </w:r>
            <w:r>
              <w:rPr>
                <w:rFonts w:hint="eastAsia" w:ascii="方正黑体_GBK" w:hAnsi="方正黑体_GBK" w:eastAsia="方正黑体_GBK" w:cs="Times New Roman"/>
                <w:vanish w:val="0"/>
                <w:spacing w:val="10"/>
                <w:kern w:val="2"/>
                <w:sz w:val="20"/>
                <w:szCs w:val="20"/>
              </w:rPr>
              <w:t>，</w:t>
            </w:r>
            <w:r>
              <w:rPr>
                <w:rFonts w:hint="eastAsia" w:ascii="方正黑体_GBK" w:hAnsi="方正黑体_GBK" w:eastAsia="方正黑体_GBK"/>
                <w:vanish w:val="0"/>
                <w:spacing w:val="10"/>
                <w:kern w:val="2"/>
                <w:sz w:val="20"/>
                <w:szCs w:val="20"/>
              </w:rPr>
              <w:t>构成有效证明投资者与南银理财双方之间权利义务关系的确定证据，投资者无条件认可电子数据的有效性和证据效力。</w:t>
            </w:r>
          </w:p>
        </w:tc>
      </w:tr>
    </w:tbl>
    <w:p w14:paraId="6A1A3067">
      <w:pPr>
        <w:spacing w:line="240" w:lineRule="auto"/>
        <w:rPr>
          <w:sz w:val="28"/>
          <w:szCs w:val="28"/>
        </w:rPr>
      </w:pPr>
      <w:r>
        <w:rPr>
          <w:rFonts w:ascii="方正黑体_GBK" w:hAnsi="方正黑体_GBK" w:eastAsia="方正黑体_GBK"/>
          <w:sz w:val="28"/>
          <w:szCs w:val="28"/>
        </w:rPr>
        <w:br w:type="page"/>
      </w:r>
    </w:p>
    <w:p w14:paraId="7A4ECAFC">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caps w:val="0"/>
          <w:smallCaps w:val="0"/>
          <w:snapToGrid/>
          <w:vanish w:val="0"/>
          <w:color w:val="auto"/>
          <w:kern w:val="0"/>
          <w:sz w:val="36"/>
          <w:szCs w:val="36"/>
          <w:vertAlign w:val="baseline"/>
        </w:rPr>
      </w:pPr>
      <w:r>
        <w:rPr>
          <w:rFonts w:ascii="方正黑体_GBK" w:hAnsi="方正黑体_GBK" w:eastAsia="方正黑体_GBK"/>
          <w:b/>
          <w:bCs/>
          <w:caps w:val="0"/>
          <w:smallCaps w:val="0"/>
          <w:snapToGrid/>
          <w:vanish w:val="0"/>
          <w:color w:val="auto"/>
          <w:kern w:val="0"/>
          <w:sz w:val="36"/>
          <w:szCs w:val="20"/>
          <w:vertAlign w:val="baseline"/>
        </w:rPr>
        <w:t xml:space="preserve"> </w:t>
      </w:r>
      <w:r>
        <w:rPr>
          <w:rFonts w:hint="eastAsia" w:ascii="方正黑体_GBK" w:hAnsi="方正黑体_GBK" w:eastAsia="方正黑体_GBK"/>
          <w:b/>
          <w:bCs/>
          <w:caps w:val="0"/>
          <w:smallCaps w:val="0"/>
          <w:snapToGrid/>
          <w:vanish w:val="0"/>
          <w:color w:val="auto"/>
          <w:kern w:val="0"/>
          <w:sz w:val="36"/>
          <w:szCs w:val="36"/>
          <w:vertAlign w:val="baseline"/>
        </w:rPr>
        <w:t>理财产品说明书</w:t>
      </w:r>
    </w:p>
    <w:p w14:paraId="17DF6987">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i/>
          <w:iCs/>
          <w:caps w:val="0"/>
          <w:smallCaps w:val="0"/>
          <w:snapToGrid/>
          <w:vanish w:val="0"/>
          <w:color w:val="auto"/>
          <w:kern w:val="0"/>
          <w:sz w:val="36"/>
          <w:szCs w:val="36"/>
          <w:u w:val="single"/>
          <w:vertAlign w:val="baseline"/>
        </w:rPr>
      </w:pP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理财非存款、产品有风险、投资须谨慎</w:t>
      </w: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w:t>
      </w:r>
    </w:p>
    <w:p w14:paraId="215DB838">
      <w:pPr>
        <w:pStyle w:val="42"/>
        <w:keepNext w:val="0"/>
        <w:keepLines w:val="0"/>
        <w:pageBreakBefore w:val="0"/>
        <w:widowControl/>
        <w:suppressLineNumbers w:val="0"/>
        <w:suppressAutoHyphens w:val="0"/>
        <w:spacing w:line="240" w:lineRule="auto"/>
        <w:ind w:firstLine="0"/>
        <w:jc w:val="both"/>
        <w:textAlignment w:val="baseline"/>
        <w:rPr>
          <w:rFonts w:ascii="方正黑体_GBK" w:hAnsi="方正黑体_GBK" w:eastAsia="方正黑体_GBK"/>
          <w:b/>
          <w:bCs w:val="0"/>
          <w:caps w:val="0"/>
          <w:smallCaps w:val="0"/>
          <w:snapToGrid/>
          <w:vanish w:val="0"/>
          <w:color w:val="3D3D3D"/>
          <w:kern w:val="0"/>
          <w:sz w:val="20"/>
          <w:szCs w:val="20"/>
          <w:vertAlign w:val="baseline"/>
        </w:rPr>
      </w:pPr>
      <w:r>
        <w:rPr>
          <w:rFonts w:hint="eastAsia" w:ascii="方正黑体_GBK" w:hAnsi="方正黑体_GBK" w:eastAsia="方正黑体_GBK"/>
          <w:b/>
          <w:bCs w:val="0"/>
          <w:caps w:val="0"/>
          <w:smallCaps w:val="0"/>
          <w:snapToGrid/>
          <w:vanish w:val="0"/>
          <w:color w:val="3D3D3D"/>
          <w:kern w:val="0"/>
          <w:sz w:val="20"/>
          <w:szCs w:val="20"/>
          <w:vertAlign w:val="baseline"/>
        </w:rPr>
        <w:t>第一条</w:t>
      </w:r>
      <w:r>
        <w:rPr>
          <w:rFonts w:ascii="方正黑体_GBK" w:hAnsi="方正黑体_GBK" w:eastAsia="方正黑体_GBK" w:cs="Times New Roman"/>
          <w:b/>
          <w:bCs w:val="0"/>
          <w:caps w:val="0"/>
          <w:smallCaps w:val="0"/>
          <w:snapToGrid/>
          <w:vanish w:val="0"/>
          <w:color w:val="3D3D3D"/>
          <w:kern w:val="0"/>
          <w:sz w:val="20"/>
          <w:szCs w:val="20"/>
          <w:vertAlign w:val="baseline"/>
        </w:rPr>
        <w:t xml:space="preserve">  </w:t>
      </w:r>
      <w:r>
        <w:rPr>
          <w:rFonts w:hint="eastAsia" w:ascii="方正黑体_GBK" w:hAnsi="方正黑体_GBK" w:eastAsia="方正黑体_GBK"/>
          <w:b/>
          <w:bCs w:val="0"/>
          <w:caps w:val="0"/>
          <w:smallCaps w:val="0"/>
          <w:snapToGrid/>
          <w:vanish w:val="0"/>
          <w:color w:val="3D3D3D"/>
          <w:kern w:val="0"/>
          <w:sz w:val="20"/>
          <w:szCs w:val="20"/>
          <w:vertAlign w:val="baseline"/>
        </w:rPr>
        <w:t>产品基本要素</w:t>
      </w:r>
    </w:p>
    <w:tbl>
      <w:tblPr>
        <w:tblStyle w:val="12"/>
        <w:tblW w:w="781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57" w:type="dxa"/>
          <w:left w:w="108" w:type="dxa"/>
          <w:bottom w:w="57" w:type="dxa"/>
          <w:right w:w="108" w:type="dxa"/>
        </w:tblCellMar>
      </w:tblPr>
      <w:tblGrid>
        <w:gridCol w:w="2272"/>
        <w:gridCol w:w="5543"/>
      </w:tblGrid>
      <w:tr w14:paraId="5B32826F">
        <w:trPr>
          <w:trHeight w:val="340" w:hRule="atLeast"/>
          <w:jc w:val="center"/>
          <w:hidden/>
        </w:trPr>
        <w:tc>
          <w:tcPr>
            <w:tcW w:w="2272" w:type="dxa"/>
            <w:tcBorders>
              <w:top w:val="single" w:color="auto" w:sz="4" w:space="0"/>
              <w:left w:val="single" w:color="auto" w:sz="4" w:space="0"/>
              <w:bottom w:val="single" w:color="auto" w:sz="2" w:space="0"/>
              <w:right w:val="single" w:color="auto" w:sz="4" w:space="0"/>
              <w:tl2br w:val="nil"/>
              <w:tr2bl w:val="nil"/>
            </w:tcBorders>
            <w:vAlign w:val="center"/>
          </w:tcPr>
          <w:p w14:paraId="3863D0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产品名称</w:t>
            </w:r>
          </w:p>
        </w:tc>
        <w:tc>
          <w:tcPr>
            <w:tcW w:w="5543" w:type="dxa"/>
            <w:tcBorders>
              <w:top w:val="single" w:color="auto" w:sz="4" w:space="0"/>
              <w:left w:val="nil"/>
              <w:bottom w:val="single" w:color="auto" w:sz="2" w:space="0"/>
              <w:right w:val="single" w:color="auto" w:sz="4" w:space="0"/>
              <w:tl2br w:val="nil"/>
              <w:tr2bl w:val="nil"/>
            </w:tcBorders>
            <w:vAlign w:val="center"/>
          </w:tcPr>
          <w:p w14:paraId="7A4A65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南银理财珠联璧合鑫逸稳三个月153期封闭式公募人民币理财产品</w:t>
            </w:r>
          </w:p>
        </w:tc>
      </w:tr>
      <w:tr w14:paraId="3A1F2641">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3CAA9D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产品类型</w:t>
            </w:r>
          </w:p>
        </w:tc>
        <w:tc>
          <w:tcPr>
            <w:tcW w:w="5543" w:type="dxa"/>
            <w:tcBorders>
              <w:top w:val="single" w:color="auto" w:sz="2" w:space="0"/>
              <w:left w:val="single" w:color="auto" w:sz="2" w:space="0"/>
              <w:bottom w:val="single" w:color="auto" w:sz="2" w:space="0"/>
              <w:right w:val="single" w:color="auto" w:sz="2" w:space="0"/>
            </w:tcBorders>
            <w:vAlign w:val="center"/>
          </w:tcPr>
          <w:p w14:paraId="23D9EA2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封闭式、固定收益类、公募、净值型</w:t>
            </w:r>
          </w:p>
        </w:tc>
      </w:tr>
      <w:tr w14:paraId="729BBAAD">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187DA9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募集方式</w:t>
            </w:r>
          </w:p>
        </w:tc>
        <w:tc>
          <w:tcPr>
            <w:tcW w:w="5543" w:type="dxa"/>
            <w:tcBorders>
              <w:top w:val="single" w:color="auto" w:sz="2" w:space="0"/>
              <w:left w:val="single" w:color="auto" w:sz="2" w:space="0"/>
              <w:bottom w:val="single" w:color="auto" w:sz="2" w:space="0"/>
              <w:right w:val="single" w:color="auto" w:sz="2" w:space="0"/>
            </w:tcBorders>
            <w:vAlign w:val="center"/>
          </w:tcPr>
          <w:p w14:paraId="3ED75B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公开募集</w:t>
            </w:r>
          </w:p>
        </w:tc>
      </w:tr>
      <w:tr w14:paraId="5247B34F">
        <w:trPr>
          <w:trHeight w:val="340" w:hRule="atLeast"/>
          <w:jc w:val="center"/>
          <w:hidden/>
        </w:trPr>
        <w:tc>
          <w:tcPr>
            <w:tcW w:w="2272" w:type="dxa"/>
            <w:tcBorders>
              <w:top w:val="single" w:color="auto" w:sz="2" w:space="0"/>
              <w:left w:val="single" w:color="auto" w:sz="4" w:space="0"/>
              <w:bottom w:val="single" w:color="auto" w:sz="4" w:space="0"/>
              <w:right w:val="single" w:color="auto" w:sz="4" w:space="0"/>
              <w:tl2br w:val="nil"/>
              <w:tr2bl w:val="nil"/>
            </w:tcBorders>
            <w:vAlign w:val="center"/>
          </w:tcPr>
          <w:p w14:paraId="33536D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理财产品代码</w:t>
            </w:r>
          </w:p>
        </w:tc>
        <w:tc>
          <w:tcPr>
            <w:tcW w:w="5543" w:type="dxa"/>
            <w:tcBorders>
              <w:top w:val="single" w:color="auto" w:sz="2" w:space="0"/>
              <w:left w:val="nil"/>
              <w:bottom w:val="single" w:color="auto" w:sz="4" w:space="0"/>
              <w:right w:val="single" w:color="auto" w:sz="4" w:space="0"/>
              <w:tl2br w:val="nil"/>
              <w:tr2bl w:val="nil"/>
            </w:tcBorders>
            <w:vAlign w:val="center"/>
          </w:tcPr>
          <w:p w14:paraId="7B46BAC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ZZ700322600319</w:t>
            </w:r>
          </w:p>
        </w:tc>
      </w:tr>
      <w:tr w14:paraId="2896AB58">
        <w:trPr>
          <w:trHeight w:val="4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91F1F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产品登记编码</w:t>
            </w:r>
          </w:p>
        </w:tc>
        <w:tc>
          <w:tcPr>
            <w:tcW w:w="5543" w:type="dxa"/>
            <w:tcBorders>
              <w:top w:val="single" w:color="auto" w:sz="4" w:space="0"/>
              <w:left w:val="nil"/>
              <w:bottom w:val="single" w:color="auto" w:sz="4" w:space="0"/>
              <w:right w:val="single" w:color="auto" w:sz="4" w:space="0"/>
              <w:tl2br w:val="nil"/>
              <w:tr2bl w:val="nil"/>
            </w:tcBorders>
            <w:vAlign w:val="center"/>
          </w:tcPr>
          <w:p w14:paraId="03A2AC9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宋体"/>
                <w:caps w:val="0"/>
                <w:smallCaps w:val="0"/>
                <w:snapToGrid/>
                <w:vanish w:val="0"/>
                <w:color w:val="auto"/>
                <w:kern w:val="0"/>
                <w:sz w:val="22"/>
                <w:szCs w:val="22"/>
                <w:vertAlign w:val="baseline"/>
              </w:rPr>
              <w:t>Z7003226000288(投资者可依据该编码在中国理财网www.chinawealth.com.cn查询理财产品相关信息）</w:t>
            </w:r>
          </w:p>
        </w:tc>
      </w:tr>
      <w:tr w14:paraId="50D724C3">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BC7845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内部销售代码</w:t>
            </w:r>
          </w:p>
        </w:tc>
        <w:tc>
          <w:tcPr>
            <w:tcW w:w="5543" w:type="dxa"/>
            <w:tcBorders>
              <w:top w:val="single" w:color="auto" w:sz="4" w:space="0"/>
              <w:left w:val="nil"/>
              <w:bottom w:val="single" w:color="auto" w:sz="4" w:space="0"/>
              <w:right w:val="single" w:color="auto" w:sz="4" w:space="0"/>
              <w:tl2br w:val="nil"/>
              <w:tr2bl w:val="nil"/>
            </w:tcBorders>
            <w:vAlign w:val="center"/>
          </w:tcPr>
          <w:p w14:paraId="4AB6CFFF">
            <w:pPr>
              <w:spacing w:line="240" w:lineRule="auto"/>
              <w:rPr>
                <w:sz w:val="28"/>
                <w:szCs w:val="28"/>
              </w:rPr>
            </w:pPr>
            <w:r>
              <w:rPr>
                <w:rFonts w:ascii="方正黑体_GBK" w:hAnsi="方正黑体_GBK" w:eastAsia="方正黑体_GBK" w:cs="宋体"/>
                <w:sz w:val="22"/>
                <w:szCs w:val="22"/>
              </w:rPr>
              <w:t>A份额：NYXY002021</w:t>
            </w:r>
          </w:p>
          <w:p w14:paraId="3F3DDA5D">
            <w:pPr>
              <w:spacing w:line="240" w:lineRule="auto"/>
              <w:rPr>
                <w:sz w:val="28"/>
                <w:szCs w:val="28"/>
              </w:rPr>
            </w:pPr>
            <w:r>
              <w:rPr>
                <w:rFonts w:ascii="方正黑体_GBK" w:hAnsi="方正黑体_GBK" w:eastAsia="方正黑体_GBK" w:cs="宋体"/>
                <w:sz w:val="22"/>
                <w:szCs w:val="22"/>
              </w:rPr>
              <w:t>B份额：NYXY002022</w:t>
            </w:r>
          </w:p>
          <w:p w14:paraId="1E4D1C51">
            <w:pPr>
              <w:spacing w:line="240" w:lineRule="auto"/>
              <w:rPr>
                <w:sz w:val="28"/>
                <w:szCs w:val="28"/>
              </w:rPr>
            </w:pPr>
            <w:r>
              <w:rPr>
                <w:rFonts w:ascii="方正黑体_GBK" w:hAnsi="方正黑体_GBK" w:eastAsia="方正黑体_GBK" w:cs="宋体"/>
                <w:sz w:val="22"/>
                <w:szCs w:val="22"/>
              </w:rPr>
              <w:t>C份额：NYXY002023</w:t>
            </w:r>
          </w:p>
          <w:p w14:paraId="3F610A05">
            <w:pPr>
              <w:spacing w:line="240" w:lineRule="auto"/>
              <w:rPr>
                <w:sz w:val="28"/>
                <w:szCs w:val="28"/>
              </w:rPr>
            </w:pPr>
            <w:r>
              <w:rPr>
                <w:rFonts w:ascii="方正黑体_GBK" w:hAnsi="方正黑体_GBK" w:eastAsia="方正黑体_GBK" w:cs="宋体"/>
                <w:sz w:val="22"/>
                <w:szCs w:val="22"/>
              </w:rPr>
              <w:t>E份额：NYXY002024</w:t>
            </w:r>
          </w:p>
          <w:p w14:paraId="58B39F91">
            <w:pPr>
              <w:spacing w:line="240" w:lineRule="auto"/>
              <w:rPr>
                <w:sz w:val="28"/>
                <w:szCs w:val="28"/>
              </w:rPr>
            </w:pPr>
            <w:r>
              <w:rPr>
                <w:rFonts w:ascii="方正黑体_GBK" w:hAnsi="方正黑体_GBK" w:eastAsia="方正黑体_GBK" w:cs="宋体"/>
                <w:sz w:val="22"/>
                <w:szCs w:val="22"/>
              </w:rPr>
              <w:t>K份额：NYXY002026</w:t>
            </w:r>
          </w:p>
          <w:p w14:paraId="79A4D055">
            <w:pPr>
              <w:spacing w:line="240" w:lineRule="auto"/>
              <w:rPr>
                <w:sz w:val="28"/>
                <w:szCs w:val="28"/>
              </w:rPr>
            </w:pPr>
            <w:r>
              <w:rPr>
                <w:rFonts w:ascii="方正黑体_GBK" w:hAnsi="方正黑体_GBK" w:eastAsia="方正黑体_GBK" w:cs="宋体"/>
                <w:sz w:val="22"/>
                <w:szCs w:val="22"/>
              </w:rPr>
              <w:t>L份额：NYXY002027</w:t>
            </w:r>
          </w:p>
          <w:p w14:paraId="74963DA3">
            <w:pPr>
              <w:spacing w:line="240" w:lineRule="auto"/>
              <w:rPr>
                <w:sz w:val="28"/>
                <w:szCs w:val="28"/>
              </w:rPr>
            </w:pPr>
            <w:r>
              <w:rPr>
                <w:rFonts w:ascii="方正黑体_GBK" w:hAnsi="方正黑体_GBK" w:eastAsia="方正黑体_GBK" w:cs="宋体"/>
                <w:sz w:val="22"/>
                <w:szCs w:val="22"/>
              </w:rPr>
              <w:t>N份额：NYXY002242</w:t>
            </w:r>
          </w:p>
          <w:p w14:paraId="0CA1AB8C">
            <w:pPr>
              <w:spacing w:line="240" w:lineRule="auto"/>
              <w:rPr>
                <w:sz w:val="28"/>
                <w:szCs w:val="28"/>
              </w:rPr>
            </w:pPr>
            <w:r>
              <w:rPr>
                <w:rFonts w:ascii="方正黑体_GBK" w:hAnsi="方正黑体_GBK" w:eastAsia="方正黑体_GBK" w:cs="宋体"/>
                <w:sz w:val="22"/>
                <w:szCs w:val="22"/>
              </w:rPr>
              <w:t>O份额：NYXY002243</w:t>
            </w:r>
          </w:p>
          <w:p w14:paraId="72B2B81F">
            <w:pPr>
              <w:spacing w:line="240" w:lineRule="auto"/>
              <w:rPr>
                <w:sz w:val="28"/>
                <w:szCs w:val="28"/>
              </w:rPr>
            </w:pPr>
            <w:r>
              <w:rPr>
                <w:rFonts w:ascii="方正黑体_GBK" w:hAnsi="方正黑体_GBK" w:eastAsia="方正黑体_GBK" w:cs="宋体"/>
                <w:sz w:val="22"/>
                <w:szCs w:val="22"/>
              </w:rPr>
              <w:t>B2份额：NYXY002244</w:t>
            </w:r>
          </w:p>
          <w:p w14:paraId="4254A608">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tc>
      </w:tr>
      <w:tr w14:paraId="1CDC5A7B">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ADAC2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销售区域</w:t>
            </w:r>
          </w:p>
        </w:tc>
        <w:tc>
          <w:tcPr>
            <w:tcW w:w="5543" w:type="dxa"/>
            <w:tcBorders>
              <w:top w:val="single" w:color="auto" w:sz="4" w:space="0"/>
              <w:left w:val="nil"/>
              <w:bottom w:val="single" w:color="auto" w:sz="4" w:space="0"/>
              <w:right w:val="single" w:color="auto" w:sz="4" w:space="0"/>
              <w:tl2br w:val="nil"/>
              <w:tr2bl w:val="nil"/>
            </w:tcBorders>
            <w:vAlign w:val="center"/>
          </w:tcPr>
          <w:p w14:paraId="40F77D43">
            <w:pPr>
              <w:spacing w:line="240" w:lineRule="auto"/>
              <w:rPr>
                <w:sz w:val="28"/>
                <w:szCs w:val="28"/>
              </w:rPr>
            </w:pPr>
            <w:r>
              <w:rPr>
                <w:rFonts w:ascii="方正黑体_GBK" w:hAnsi="方正黑体_GBK" w:eastAsia="方正黑体_GBK" w:cs="宋体"/>
                <w:sz w:val="22"/>
                <w:szCs w:val="22"/>
              </w:rPr>
              <w:t>全国</w:t>
            </w:r>
          </w:p>
        </w:tc>
      </w:tr>
      <w:tr w14:paraId="23FBC22B">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48010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币种</w:t>
            </w:r>
          </w:p>
        </w:tc>
        <w:tc>
          <w:tcPr>
            <w:tcW w:w="5543" w:type="dxa"/>
            <w:tcBorders>
              <w:top w:val="single" w:color="auto" w:sz="4" w:space="0"/>
              <w:left w:val="nil"/>
              <w:bottom w:val="single" w:color="auto" w:sz="4" w:space="0"/>
              <w:right w:val="single" w:color="auto" w:sz="4" w:space="0"/>
              <w:tl2br w:val="nil"/>
              <w:tr2bl w:val="nil"/>
            </w:tcBorders>
            <w:vAlign w:val="center"/>
          </w:tcPr>
          <w:p w14:paraId="09A7B3D7">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textAlignment w:val="center"/>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人民币</w:t>
            </w:r>
          </w:p>
        </w:tc>
      </w:tr>
      <w:tr w14:paraId="2FCD78C3">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13E719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产品规模</w:t>
            </w:r>
          </w:p>
        </w:tc>
        <w:tc>
          <w:tcPr>
            <w:tcW w:w="5543" w:type="dxa"/>
            <w:tcBorders>
              <w:top w:val="single" w:color="auto" w:sz="4" w:space="0"/>
              <w:left w:val="nil"/>
              <w:bottom w:val="single" w:color="auto" w:sz="4" w:space="0"/>
              <w:right w:val="single" w:color="auto" w:sz="4" w:space="0"/>
              <w:tl2br w:val="nil"/>
              <w:tr2bl w:val="nil"/>
            </w:tcBorders>
            <w:vAlign w:val="center"/>
          </w:tcPr>
          <w:p w14:paraId="117BE447">
            <w:pPr>
              <w:spacing w:line="240" w:lineRule="auto"/>
              <w:rPr>
                <w:sz w:val="28"/>
                <w:szCs w:val="28"/>
              </w:rPr>
            </w:pPr>
            <w:r>
              <w:rPr>
                <w:rFonts w:ascii="方正黑体_GBK" w:hAnsi="方正黑体_GBK" w:eastAsia="方正黑体_GBK" w:cs="宋体"/>
                <w:sz w:val="22"/>
                <w:szCs w:val="22"/>
              </w:rPr>
              <w:t>本理财产品规模上限为100亿元。</w:t>
            </w:r>
          </w:p>
        </w:tc>
      </w:tr>
      <w:tr w14:paraId="1C7EA595">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35861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风险等级</w:t>
            </w:r>
          </w:p>
        </w:tc>
        <w:tc>
          <w:tcPr>
            <w:tcW w:w="5543" w:type="dxa"/>
            <w:tcBorders>
              <w:top w:val="single" w:color="auto" w:sz="4" w:space="0"/>
              <w:left w:val="nil"/>
              <w:bottom w:val="single" w:color="auto" w:sz="4" w:space="0"/>
              <w:right w:val="single" w:color="auto" w:sz="4" w:space="0"/>
              <w:tl2br w:val="nil"/>
              <w:tr2bl w:val="nil"/>
            </w:tcBorders>
            <w:vAlign w:val="center"/>
          </w:tcPr>
          <w:p w14:paraId="433E1063">
            <w:pPr>
              <w:spacing w:line="240" w:lineRule="auto"/>
              <w:rPr>
                <w:sz w:val="28"/>
                <w:szCs w:val="28"/>
              </w:rPr>
            </w:pPr>
            <w:r>
              <w:rPr>
                <w:rFonts w:ascii="方正黑体_GBK" w:hAnsi="方正黑体_GBK" w:eastAsia="方正黑体_GBK" w:cs="宋体"/>
                <w:sz w:val="22"/>
                <w:szCs w:val="22"/>
              </w:rPr>
              <w:t>根据理财产品管理人对理财产品的内部风险评估，本理财产品风险等级为</w:t>
            </w:r>
            <w:r>
              <w:rPr>
                <w:rFonts w:ascii="方正黑体_GBK" w:hAnsi="方正黑体_GBK" w:eastAsia="方正黑体_GBK" w:cs="宋体"/>
                <w:b/>
                <w:sz w:val="22"/>
                <w:szCs w:val="22"/>
              </w:rPr>
              <w:t>中低风险</w:t>
            </w:r>
            <w:r>
              <w:rPr>
                <w:rFonts w:ascii="方正黑体_GBK" w:hAnsi="方正黑体_GBK" w:eastAsia="方正黑体_GBK" w:cs="宋体"/>
                <w:sz w:val="22"/>
                <w:szCs w:val="22"/>
              </w:rPr>
              <w:t>（本风险等级为管理人内部风险评估结果，仅供参考）。</w:t>
            </w:r>
          </w:p>
          <w:p w14:paraId="25FB6041">
            <w:pPr>
              <w:spacing w:line="240" w:lineRule="auto"/>
              <w:rPr>
                <w:sz w:val="28"/>
                <w:szCs w:val="28"/>
              </w:rPr>
            </w:pPr>
            <w:r>
              <w:rPr>
                <w:rFonts w:ascii="方正黑体_GBK" w:hAnsi="方正黑体_GBK" w:eastAsia="方正黑体_GBK" w:cs="宋体"/>
                <w:sz w:val="22"/>
                <w:szCs w:val="22"/>
              </w:rPr>
              <w:t>代销机构应当设置科学合理的理财产品风险评级的方式和方法，对理财产品进行评级；该产品通过代销机构渠道销售的，理财产品评级应当以代销机构最终披露的评级结果为准。</w:t>
            </w:r>
          </w:p>
        </w:tc>
      </w:tr>
      <w:tr w14:paraId="5E02DBDA">
        <w:trPr>
          <w:trHeight w:val="43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03046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发行对象</w:t>
            </w:r>
          </w:p>
        </w:tc>
        <w:tc>
          <w:tcPr>
            <w:tcW w:w="5543" w:type="dxa"/>
            <w:tcBorders>
              <w:top w:val="single" w:color="auto" w:sz="4" w:space="0"/>
              <w:left w:val="nil"/>
              <w:bottom w:val="single" w:color="auto" w:sz="4" w:space="0"/>
              <w:right w:val="single" w:color="auto" w:sz="4" w:space="0"/>
              <w:tl2br w:val="nil"/>
              <w:tr2bl w:val="nil"/>
            </w:tcBorders>
            <w:vAlign w:val="center"/>
          </w:tcPr>
          <w:p w14:paraId="268C6DA7">
            <w:pPr>
              <w:spacing w:line="240" w:lineRule="auto"/>
              <w:rPr>
                <w:sz w:val="28"/>
                <w:szCs w:val="28"/>
              </w:rPr>
            </w:pPr>
            <w:r>
              <w:rPr>
                <w:rFonts w:ascii="方正黑体_GBK" w:hAnsi="方正黑体_GBK" w:eastAsia="方正黑体_GBK" w:cs="宋体"/>
                <w:color w:val="000000"/>
                <w:sz w:val="22"/>
                <w:szCs w:val="22"/>
              </w:rPr>
              <w:t>符合相关法律法规、监管规定要求的，经销售机构的风险承受能力评估体系评定为适合的个人和机构投资者。</w:t>
            </w:r>
          </w:p>
          <w:p w14:paraId="2EA202DA">
            <w:pPr>
              <w:spacing w:line="240" w:lineRule="auto"/>
              <w:rPr>
                <w:sz w:val="28"/>
                <w:szCs w:val="28"/>
              </w:rPr>
            </w:pPr>
            <w:r>
              <w:rPr>
                <w:rFonts w:ascii="方正黑体_GBK" w:hAnsi="方正黑体_GBK" w:eastAsia="方正黑体_GBK" w:cs="宋体"/>
                <w:sz w:val="22"/>
                <w:szCs w:val="22"/>
              </w:rPr>
              <w:t>A份额：南银理财有限责任公司、南京银行股份有限公司（除新客、新资金、代发及对公客户外的其他客户）、北京农村商业银行股份有限公司、青岛银行股份有限公司、河北银行股份有限公司（除分行财富客户外的其他客户）、江苏常熟农村商业银行股份有限公司（1元起购）、江苏苏州农村商业银行股份有限公司、金华银行股份有限公司、江苏江南农村商业银行股份有限公司（1元起购）、广州农村商业银行股份有限公司、苏州银行股份有限公司、无锡农村商业银行股份有限公司、福建海峡银行股份有限公司、齐鲁银行股份有限公司（除白金/私行客户、财富客户外的其他客户）、北京银行股份有限公司、贵阳银行股份有限公司、天津农村商业银行股份有限公司(除企业拓展客户、个人新客和私钻客户外的其他客户)、山西银行股份有限公司、德州银行股份有限公司、云南红塔银行股份有限公司（除惠农客户和网金长尾客户外的其他客户）、海南银行股份有限公司、乌鲁木齐银行股份有限公司、上海农村商业银行股份有限公司、湖州银行股份有限公司（除代发客户外的其他客户）、宁波通商银行股份有限公司、石嘴山银行股份有限公司、无锡锡商银行股份有限公司、江苏丹阳农村商业银行股份有限公司、江苏宜兴农村商业银行股份有限公司、江苏响水农村商业银行股份有限公司（1元起购）、江苏民丰农村商业银行股份有限公司、江苏建湖农村商业银行股份有限公司、江苏东台农村商业银行股份有限公司、江苏南通农村商业银行股份有限公司、江苏扬州农村商业银行股份有限公司、江苏淮安农村商业银行股份有限公司、江苏涟水农村商业银行股份有限公司、江苏镇江农村商业银行股份有限公司（1元起购）、江苏如皋农村商业银行股份有限公司、江苏宝应农村商业银行股份有限公司、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村商业银行股份有限公司（1元起购）、江苏仪征农村商业银行股份有限公司（1元起购）、江苏沭阳农村商业银行股份有限公司、连云港东方农村商业银行股份有限公司、江苏灌云农村商业银行股份有限公司。</w:t>
            </w:r>
          </w:p>
          <w:p w14:paraId="155B8F65">
            <w:pPr>
              <w:spacing w:line="240" w:lineRule="auto"/>
              <w:rPr>
                <w:sz w:val="28"/>
                <w:szCs w:val="28"/>
              </w:rPr>
            </w:pPr>
            <w:r>
              <w:rPr>
                <w:rFonts w:ascii="方正黑体_GBK" w:hAnsi="方正黑体_GBK" w:eastAsia="方正黑体_GBK" w:cs="宋体"/>
                <w:sz w:val="22"/>
                <w:szCs w:val="22"/>
              </w:rPr>
              <w:t>B份额：南京银行股份有限公司(新客或新资金或代发客户)、江苏太仓农村商业银行股份有限公司、温州银行股份有限公司、江苏张家港农村商业银行股份有限公司、浙江民泰商业银行股份有限公司、河北银行股份有限公司(分行财富客户)、广州银行股份有限公司、江苏常熟农村商业银行股份有限公司（1万元起购）、江苏江南农村商业银行股份有限公司(20万元起购)、长安银行股份有限公司、秦皇岛银行股份有限公司、齐鲁银行股份有限公司(白金/私行客户)、天津农村商业银行股份有限公司(企业拓展客户)、云南红塔银行股份有限公司（惠农客户）、兰州银行股份有限公司、甘肃银行股份有限公司(除财富客户外的其他客户)、东营银行股份有限公司、富邦华一银行有限公司、湖州银行股份有限公司(代发工资客户)、桂林银行股份有限公司、海南农村商业银行股份有限公司、江苏高淳农村商业银行股份有限公司、江苏江都农村商业银行股份有限公司、江苏大丰农村商业银行股份有限公司、江苏镇江农村商业银行股份有限公司(20万元起购)、江苏紫金农村商业银行股份有限公司、江苏仪征农村商业银行股份有限公司(20万元起购)、江苏海安农村商业银行股份有限公司、江苏泰州农村商业银行股份有限公司（除普济医院客户外的其他客户）、江苏昆山农村商业银行股份有限公司（代发客户）。</w:t>
            </w:r>
          </w:p>
          <w:p w14:paraId="530F9F69">
            <w:pPr>
              <w:spacing w:line="240" w:lineRule="auto"/>
              <w:rPr>
                <w:sz w:val="28"/>
                <w:szCs w:val="28"/>
              </w:rPr>
            </w:pPr>
            <w:r>
              <w:rPr>
                <w:rFonts w:ascii="方正黑体_GBK" w:hAnsi="方正黑体_GBK" w:eastAsia="方正黑体_GBK" w:cs="宋体"/>
                <w:sz w:val="22"/>
                <w:szCs w:val="22"/>
              </w:rPr>
              <w:t>C份额：江苏江南农村商业银行股份有限公司(1000万元起购)、泰安银行股份有限公司（除私行客户外的其他客户）、齐鲁银行股份有限公司(财富客户)、哈密市商业银行股份有限公司、天津农村商业银行股份有限公司(个人新客)、云南红塔银行股份有限公司（网金长尾客户）、甘肃银行股份有限公司(财富客户)、江苏泰兴农村商业银行股份有限公司、江苏响水农村商业银行股份有限公司(50万元起购)、江苏靖江农村商业银行股份有限公司、江苏溧水农村商业银行股份有限公司、江苏兴化农村商业银行股份有限公司、江苏镇江农村商业银行股份有限公司(100万元起购)、江苏滨海农村商业银行股份有限公司、江苏射阳农村商业银行股份有限公司、江苏句容农村商业银行股份有限公司、江苏如东农村商业银行股份有限公司、江苏姜堰农村商业银行股份有限公司( 10万元起购)、江苏仪征农村商业银行股份有限公司( 50万元起购)、江苏泰州农村商业银行股份有限公司（普济医院客户）、江苏昆山农村商业银行股份有限公司（私行客户）。</w:t>
            </w:r>
          </w:p>
          <w:p w14:paraId="52DD8DF3">
            <w:pPr>
              <w:spacing w:line="240" w:lineRule="auto"/>
              <w:rPr>
                <w:sz w:val="28"/>
                <w:szCs w:val="28"/>
              </w:rPr>
            </w:pPr>
            <w:r>
              <w:rPr>
                <w:rFonts w:ascii="方正黑体_GBK" w:hAnsi="方正黑体_GBK" w:eastAsia="方正黑体_GBK" w:cs="宋体"/>
                <w:sz w:val="22"/>
                <w:szCs w:val="22"/>
              </w:rPr>
              <w:t>E份额：南京银行股份有限公司（对公客户）。</w:t>
            </w:r>
          </w:p>
          <w:p w14:paraId="76A1CE02">
            <w:pPr>
              <w:spacing w:line="240" w:lineRule="auto"/>
              <w:rPr>
                <w:sz w:val="28"/>
                <w:szCs w:val="28"/>
              </w:rPr>
            </w:pPr>
            <w:r>
              <w:rPr>
                <w:rFonts w:ascii="方正黑体_GBK" w:hAnsi="方正黑体_GBK" w:eastAsia="方正黑体_GBK" w:cs="宋体"/>
                <w:sz w:val="22"/>
                <w:szCs w:val="22"/>
              </w:rPr>
              <w:t>K份额：吉林银行股份有限公司。</w:t>
            </w:r>
          </w:p>
          <w:p w14:paraId="37508A79">
            <w:pPr>
              <w:spacing w:line="240" w:lineRule="auto"/>
              <w:rPr>
                <w:sz w:val="28"/>
                <w:szCs w:val="28"/>
              </w:rPr>
            </w:pPr>
            <w:r>
              <w:rPr>
                <w:rFonts w:ascii="方正黑体_GBK" w:hAnsi="方正黑体_GBK" w:eastAsia="方正黑体_GBK" w:cs="宋体"/>
                <w:sz w:val="22"/>
                <w:szCs w:val="22"/>
              </w:rPr>
              <w:t>L份额：江苏江南农村商业银行股份有限公司(2000万元起购)、泰安银行股份有限公司（私行客户）、天津农村商业银行股份有限公司(私钻客户)、朝阳银行股份有限公司。</w:t>
            </w:r>
          </w:p>
          <w:p w14:paraId="2432F43E">
            <w:pPr>
              <w:spacing w:line="240" w:lineRule="auto"/>
              <w:rPr>
                <w:sz w:val="28"/>
                <w:szCs w:val="28"/>
              </w:rPr>
            </w:pPr>
            <w:r>
              <w:rPr>
                <w:rFonts w:ascii="方正黑体_GBK" w:hAnsi="方正黑体_GBK" w:eastAsia="方正黑体_GBK" w:cs="宋体"/>
                <w:sz w:val="22"/>
                <w:szCs w:val="22"/>
              </w:rPr>
              <w:t>N份额：蒙商银行股份有限公司（除财富客户外的其他客户）。</w:t>
            </w:r>
          </w:p>
          <w:p w14:paraId="54AF0765">
            <w:pPr>
              <w:spacing w:line="240" w:lineRule="auto"/>
              <w:rPr>
                <w:sz w:val="28"/>
                <w:szCs w:val="28"/>
              </w:rPr>
            </w:pPr>
            <w:r>
              <w:rPr>
                <w:rFonts w:ascii="方正黑体_GBK" w:hAnsi="方正黑体_GBK" w:eastAsia="方正黑体_GBK" w:cs="宋体"/>
                <w:sz w:val="22"/>
                <w:szCs w:val="22"/>
              </w:rPr>
              <w:t>O份额：蒙商银行股份有限公司（财富客户）。</w:t>
            </w:r>
          </w:p>
          <w:p w14:paraId="1E4544F9">
            <w:pPr>
              <w:spacing w:line="240" w:lineRule="auto"/>
              <w:rPr>
                <w:sz w:val="28"/>
                <w:szCs w:val="28"/>
              </w:rPr>
            </w:pPr>
            <w:r>
              <w:rPr>
                <w:rFonts w:ascii="方正黑体_GBK" w:hAnsi="方正黑体_GBK" w:eastAsia="方正黑体_GBK" w:cs="宋体"/>
                <w:sz w:val="22"/>
                <w:szCs w:val="22"/>
              </w:rPr>
              <w:t>B2份额：郑州银行股份有限公司、江苏常熟农村商业银行股份有限公司（财富客户）。</w:t>
            </w:r>
          </w:p>
          <w:p w14:paraId="775E2AA3">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p w14:paraId="315509D6">
            <w:pPr>
              <w:spacing w:line="240" w:lineRule="auto"/>
              <w:rPr>
                <w:sz w:val="28"/>
                <w:szCs w:val="28"/>
              </w:rPr>
            </w:pPr>
            <w:r>
              <w:rPr>
                <w:rFonts w:ascii="方正黑体_GBK" w:hAnsi="方正黑体_GBK" w:eastAsia="方正黑体_GBK" w:cs="宋体"/>
                <w:b/>
                <w:sz w:val="22"/>
                <w:szCs w:val="22"/>
              </w:rPr>
              <w:t>南京银行股份有限公司（新客或新资金或代发客户）：</w:t>
            </w:r>
            <w:r>
              <w:rPr>
                <w:rFonts w:ascii="方正黑体_GBK" w:hAnsi="方正黑体_GBK" w:eastAsia="方正黑体_GBK" w:cs="宋体"/>
                <w:sz w:val="22"/>
                <w:szCs w:val="22"/>
              </w:rPr>
              <w:t>新客是指2026年理财年日均余额为0的客户。新资金（5万）是指金融资产余额较上月月日均增长5万元及以上的客户。代发是指近90天内有过代发记录的客户（不含跨行代发、批量兑付、批量付息）。</w:t>
            </w:r>
          </w:p>
        </w:tc>
      </w:tr>
      <w:tr w14:paraId="4DCEFC91">
        <w:trPr>
          <w:trHeight w:val="41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BDC86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投资起点金额、递增金额</w:t>
            </w:r>
          </w:p>
        </w:tc>
        <w:tc>
          <w:tcPr>
            <w:tcW w:w="5543" w:type="dxa"/>
            <w:tcBorders>
              <w:top w:val="single" w:color="auto" w:sz="4" w:space="0"/>
              <w:left w:val="nil"/>
              <w:bottom w:val="single" w:color="auto" w:sz="4" w:space="0"/>
              <w:right w:val="single" w:color="auto" w:sz="4" w:space="0"/>
              <w:tl2br w:val="nil"/>
              <w:tr2bl w:val="nil"/>
            </w:tcBorders>
            <w:vAlign w:val="center"/>
          </w:tcPr>
          <w:p w14:paraId="054EC527">
            <w:pPr>
              <w:spacing w:line="240" w:lineRule="auto"/>
              <w:rPr>
                <w:sz w:val="28"/>
                <w:szCs w:val="28"/>
              </w:rPr>
            </w:pPr>
            <w:r>
              <w:rPr>
                <w:rFonts w:ascii="方正黑体_GBK" w:hAnsi="方正黑体_GBK" w:eastAsia="方正黑体_GBK" w:cs="宋体"/>
                <w:sz w:val="22"/>
                <w:szCs w:val="22"/>
              </w:rPr>
              <w:t>A份额/B份额/C份额/K份额/L份额/N份额/O份额/B2份额：</w:t>
            </w:r>
          </w:p>
          <w:p w14:paraId="3D6B50A3">
            <w:pPr>
              <w:spacing w:line="240" w:lineRule="auto"/>
              <w:rPr>
                <w:sz w:val="28"/>
                <w:szCs w:val="28"/>
              </w:rPr>
            </w:pPr>
            <w:r>
              <w:rPr>
                <w:rFonts w:ascii="方正黑体_GBK" w:hAnsi="方正黑体_GBK" w:eastAsia="方正黑体_GBK" w:cs="宋体"/>
                <w:sz w:val="22"/>
                <w:szCs w:val="22"/>
              </w:rPr>
              <w:t>个人投资者投资起点金额1元人民币，以1元的整数倍递增；</w:t>
            </w:r>
          </w:p>
          <w:p w14:paraId="185F4C99">
            <w:pPr>
              <w:spacing w:line="240" w:lineRule="auto"/>
              <w:rPr>
                <w:sz w:val="28"/>
                <w:szCs w:val="28"/>
              </w:rPr>
            </w:pPr>
            <w:r>
              <w:rPr>
                <w:rFonts w:ascii="方正黑体_GBK" w:hAnsi="方正黑体_GBK" w:eastAsia="方正黑体_GBK" w:cs="宋体"/>
                <w:sz w:val="22"/>
                <w:szCs w:val="22"/>
              </w:rPr>
              <w:t>机构投资者投资起点金额1元人民币，以1元的整数倍递增；</w:t>
            </w:r>
          </w:p>
          <w:p w14:paraId="0819A6E6">
            <w:pPr>
              <w:spacing w:line="240" w:lineRule="auto"/>
              <w:rPr>
                <w:sz w:val="28"/>
                <w:szCs w:val="28"/>
              </w:rPr>
            </w:pPr>
            <w:r>
              <w:rPr>
                <w:rFonts w:ascii="方正黑体_GBK" w:hAnsi="方正黑体_GBK" w:eastAsia="方正黑体_GBK" w:cs="宋体"/>
                <w:sz w:val="22"/>
                <w:szCs w:val="22"/>
              </w:rPr>
              <w:t>E份额：</w:t>
            </w:r>
          </w:p>
          <w:p w14:paraId="73BA6941">
            <w:pPr>
              <w:spacing w:line="240" w:lineRule="auto"/>
              <w:rPr>
                <w:sz w:val="28"/>
                <w:szCs w:val="28"/>
              </w:rPr>
            </w:pPr>
            <w:r>
              <w:rPr>
                <w:rFonts w:ascii="方正黑体_GBK" w:hAnsi="方正黑体_GBK" w:eastAsia="方正黑体_GBK" w:cs="宋体"/>
                <w:sz w:val="22"/>
                <w:szCs w:val="22"/>
              </w:rPr>
              <w:t>机构投资者投资起点金额100万元人民币，以1元的整数倍递增；</w:t>
            </w:r>
          </w:p>
        </w:tc>
      </w:tr>
      <w:tr w14:paraId="00699584">
        <w:trPr>
          <w:trHeight w:val="358"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BDA7B8F">
            <w:pPr>
              <w:keepNext w:val="0"/>
              <w:keepLines w:val="0"/>
              <w:pageBreakBefore w:val="0"/>
              <w:widowControl/>
              <w:suppressLineNumbers w:val="0"/>
              <w:suppressAutoHyphens w:val="0"/>
              <w:spacing w:line="240" w:lineRule="auto"/>
              <w:jc w:val="left"/>
              <w:rPr>
                <w:rFonts w:ascii="方正黑体_GBK" w:hAnsi="方正黑体_GBK" w:eastAsia="方正黑体_GBK"/>
                <w:kern w:val="0"/>
                <w:sz w:val="22"/>
                <w:szCs w:val="22"/>
              </w:rPr>
            </w:pPr>
            <w:r>
              <w:rPr>
                <w:rFonts w:hint="eastAsia" w:ascii="方正黑体_GBK" w:hAnsi="方正黑体_GBK" w:eastAsia="方正黑体_GBK"/>
                <w:kern w:val="0"/>
                <w:sz w:val="22"/>
                <w:szCs w:val="22"/>
              </w:rPr>
              <w:t>单一投资者持有比例上限</w:t>
            </w:r>
          </w:p>
        </w:tc>
        <w:tc>
          <w:tcPr>
            <w:tcW w:w="5543" w:type="dxa"/>
            <w:tcBorders>
              <w:top w:val="single" w:color="auto" w:sz="4" w:space="0"/>
              <w:left w:val="nil"/>
              <w:bottom w:val="single" w:color="auto" w:sz="4" w:space="0"/>
              <w:right w:val="single" w:color="auto" w:sz="4" w:space="0"/>
              <w:tl2br w:val="nil"/>
              <w:tr2bl w:val="nil"/>
            </w:tcBorders>
            <w:vAlign w:val="center"/>
          </w:tcPr>
          <w:p w14:paraId="2958A044">
            <w:pPr>
              <w:spacing w:line="240" w:lineRule="auto"/>
              <w:jc w:val="left"/>
              <w:rPr>
                <w:sz w:val="28"/>
                <w:szCs w:val="28"/>
              </w:rPr>
            </w:pPr>
            <w:r>
              <w:rPr>
                <w:rFonts w:ascii="方正黑体_GBK" w:hAnsi="方正黑体_GBK" w:eastAsia="方正黑体_GBK" w:cs="宋体"/>
                <w:sz w:val="22"/>
                <w:szCs w:val="22"/>
              </w:rPr>
              <w:t>本理财产品单一投资者持有的份额（含已确认和待确认的份额）不得超过本理财产品总份额的50%，管理人有权拒绝导致投资者持有份额突破前述50%比例限制的认申购申请。</w:t>
            </w:r>
          </w:p>
          <w:p w14:paraId="2795FAB9">
            <w:pPr>
              <w:spacing w:line="240" w:lineRule="auto"/>
              <w:jc w:val="left"/>
              <w:rPr>
                <w:sz w:val="28"/>
                <w:szCs w:val="28"/>
              </w:rPr>
            </w:pPr>
            <w:r>
              <w:rPr>
                <w:rFonts w:ascii="方正黑体_GBK" w:hAnsi="方正黑体_GBK" w:eastAsia="方正黑体_GBK" w:cs="宋体"/>
                <w:sz w:val="22"/>
                <w:szCs w:val="22"/>
              </w:rPr>
              <w:t>非因管理人主观因素导致突破上述50%比例限制的，在单一投资者持有比例降至50%以下之前，管理人不再接受该投资者对本理财产品的认申购申请。</w:t>
            </w:r>
          </w:p>
        </w:tc>
      </w:tr>
      <w:tr w14:paraId="63D9DE73">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7B06F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募集期</w:t>
            </w:r>
          </w:p>
        </w:tc>
        <w:tc>
          <w:tcPr>
            <w:tcW w:w="5543" w:type="dxa"/>
            <w:tcBorders>
              <w:top w:val="single" w:color="auto" w:sz="4" w:space="0"/>
              <w:left w:val="nil"/>
              <w:bottom w:val="single" w:color="auto" w:sz="4" w:space="0"/>
              <w:right w:val="single" w:color="auto" w:sz="4" w:space="0"/>
              <w:tl2br w:val="nil"/>
              <w:tr2bl w:val="nil"/>
            </w:tcBorders>
            <w:vAlign w:val="center"/>
          </w:tcPr>
          <w:p w14:paraId="6B66E370">
            <w:pPr>
              <w:spacing w:line="240" w:lineRule="auto"/>
              <w:jc w:val="left"/>
              <w:rPr>
                <w:sz w:val="28"/>
                <w:szCs w:val="28"/>
              </w:rPr>
            </w:pPr>
            <w:r>
              <w:rPr>
                <w:rFonts w:ascii="方正黑体_GBK" w:hAnsi="方正黑体_GBK" w:eastAsia="方正黑体_GBK" w:cs="宋体"/>
                <w:color w:val="000000"/>
                <w:sz w:val="22"/>
                <w:szCs w:val="22"/>
              </w:rPr>
              <w:t>2026年09月23日 09:00—2026年09月28日 17:00</w:t>
            </w:r>
          </w:p>
        </w:tc>
      </w:tr>
      <w:tr w14:paraId="2844A56A">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4869544">
            <w:pPr>
              <w:keepNext w:val="0"/>
              <w:keepLines w:val="0"/>
              <w:pageBreakBefore w:val="0"/>
              <w:widowControl/>
              <w:suppressLineNumbers w:val="0"/>
              <w:suppressAutoHyphens w:val="0"/>
              <w:spacing w:line="240" w:lineRule="auto"/>
              <w:jc w:val="left"/>
              <w:rPr>
                <w:rFonts w:ascii="方正黑体_GBK" w:hAnsi="方正黑体_GBK" w:eastAsia="方正黑体_GBK"/>
                <w:caps w:val="0"/>
                <w:smallCaps w:val="0"/>
                <w:snapToGrid/>
                <w:vanish w:val="0"/>
                <w:color w:val="auto"/>
                <w:kern w:val="0"/>
                <w:sz w:val="22"/>
                <w:szCs w:val="22"/>
                <w:vertAlign w:val="baseline"/>
              </w:rPr>
            </w:pPr>
            <w:r>
              <w:rPr>
                <w:rFonts w:ascii="方正黑体_GBK" w:hAnsi="方正黑体_GBK" w:eastAsia="方正黑体_GBK"/>
                <w:caps w:val="0"/>
                <w:smallCaps w:val="0"/>
                <w:snapToGrid/>
                <w:vanish w:val="0"/>
                <w:color w:val="auto"/>
                <w:kern w:val="0"/>
                <w:sz w:val="22"/>
                <w:szCs w:val="22"/>
                <w:vertAlign w:val="baseline"/>
              </w:rPr>
              <w:t>认购份额计算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0E2B7453">
            <w:pPr>
              <w:spacing w:line="240" w:lineRule="auto"/>
              <w:rPr>
                <w:sz w:val="28"/>
                <w:szCs w:val="28"/>
              </w:rPr>
            </w:pPr>
            <w:r>
              <w:rPr>
                <w:rFonts w:ascii="方正黑体_GBK" w:hAnsi="方正黑体_GBK" w:eastAsia="方正黑体_GBK" w:cs="宋体"/>
                <w:sz w:val="22"/>
                <w:szCs w:val="22"/>
              </w:rPr>
              <w:t>认购份额=确认认购金额/1。（认购份额以去尾法保留两位小数）</w:t>
            </w:r>
          </w:p>
        </w:tc>
      </w:tr>
      <w:tr w14:paraId="150DD74E">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5F2AA02">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认购确认日</w:t>
            </w:r>
          </w:p>
        </w:tc>
        <w:tc>
          <w:tcPr>
            <w:tcW w:w="5543" w:type="dxa"/>
            <w:tcBorders>
              <w:top w:val="single" w:color="auto" w:sz="4" w:space="0"/>
              <w:left w:val="nil"/>
              <w:bottom w:val="single" w:color="auto" w:sz="4" w:space="0"/>
              <w:right w:val="single" w:color="auto" w:sz="4" w:space="0"/>
              <w:tl2br w:val="nil"/>
              <w:tr2bl w:val="nil"/>
            </w:tcBorders>
            <w:vAlign w:val="center"/>
          </w:tcPr>
          <w:p w14:paraId="6C5414FE">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rFonts w:ascii="方正黑体_GBK" w:hAnsi="方正黑体_GBK" w:eastAsia="方正黑体_GBK"/>
                <w:color w:val="000000"/>
                <w:kern w:val="0"/>
                <w:sz w:val="22"/>
                <w:szCs w:val="22"/>
              </w:rPr>
            </w:pPr>
            <w:r>
              <w:rPr>
                <w:rFonts w:hint="eastAsia" w:ascii="方正黑体_GBK" w:hAnsi="方正黑体_GBK" w:eastAsia="方正黑体_GBK"/>
                <w:color w:val="000000"/>
                <w:kern w:val="0"/>
                <w:sz w:val="22"/>
                <w:szCs w:val="22"/>
              </w:rPr>
              <w:t>同产品成立日</w:t>
            </w:r>
          </w:p>
        </w:tc>
      </w:tr>
      <w:tr w14:paraId="13155157">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2888B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产品成立日</w:t>
            </w:r>
          </w:p>
        </w:tc>
        <w:tc>
          <w:tcPr>
            <w:tcW w:w="5543" w:type="dxa"/>
            <w:tcBorders>
              <w:top w:val="single" w:color="auto" w:sz="4" w:space="0"/>
              <w:left w:val="nil"/>
              <w:bottom w:val="single" w:color="auto" w:sz="4" w:space="0"/>
              <w:right w:val="single" w:color="auto" w:sz="4" w:space="0"/>
              <w:tl2br w:val="nil"/>
              <w:tr2bl w:val="nil"/>
            </w:tcBorders>
            <w:vAlign w:val="center"/>
          </w:tcPr>
          <w:p w14:paraId="1B23AA07">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sz w:val="28"/>
                <w:szCs w:val="28"/>
              </w:rPr>
            </w:pPr>
            <w:r>
              <w:rPr>
                <w:rFonts w:hint="eastAsia" w:ascii="方正黑体_GBK" w:hAnsi="方正黑体_GBK" w:eastAsia="方正黑体_GBK"/>
                <w:kern w:val="0"/>
                <w:sz w:val="22"/>
                <w:szCs w:val="22"/>
              </w:rPr>
              <w:t>2026年09月29日</w:t>
            </w:r>
          </w:p>
        </w:tc>
      </w:tr>
      <w:tr w14:paraId="7EA4264C">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F5845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产品存续期</w:t>
            </w:r>
          </w:p>
        </w:tc>
        <w:tc>
          <w:tcPr>
            <w:tcW w:w="5543" w:type="dxa"/>
            <w:tcBorders>
              <w:top w:val="single" w:color="auto" w:sz="4" w:space="0"/>
              <w:left w:val="nil"/>
              <w:bottom w:val="single" w:color="auto" w:sz="4" w:space="0"/>
              <w:right w:val="single" w:color="auto" w:sz="4" w:space="0"/>
              <w:tl2br w:val="nil"/>
              <w:tr2bl w:val="nil"/>
            </w:tcBorders>
            <w:vAlign w:val="center"/>
          </w:tcPr>
          <w:p w14:paraId="2BB0F234">
            <w:pPr>
              <w:spacing w:line="240" w:lineRule="auto"/>
              <w:rPr>
                <w:sz w:val="28"/>
                <w:szCs w:val="28"/>
              </w:rPr>
            </w:pPr>
            <w:r>
              <w:rPr>
                <w:rFonts w:ascii="方正黑体_GBK" w:hAnsi="方正黑体_GBK" w:eastAsia="方正黑体_GBK" w:cs="宋体"/>
                <w:sz w:val="22"/>
                <w:szCs w:val="22"/>
              </w:rPr>
              <w:t>2026年09月29日—实际到期日（</w:t>
            </w:r>
            <w:r>
              <w:rPr>
                <w:rFonts w:ascii="方正黑体_GBK" w:hAnsi="方正黑体_GBK" w:eastAsia="方正黑体_GBK" w:cs="宋体"/>
                <w:b/>
                <w:sz w:val="22"/>
                <w:szCs w:val="22"/>
              </w:rPr>
              <w:t>如名义到期日遇国家法定节假日，管理人可结合国家法定节假日安排进行调整。</w:t>
            </w:r>
            <w:r>
              <w:rPr>
                <w:rFonts w:ascii="方正黑体_GBK" w:hAnsi="方正黑体_GBK" w:eastAsia="方正黑体_GBK" w:cs="宋体"/>
                <w:sz w:val="22"/>
                <w:szCs w:val="22"/>
              </w:rPr>
              <w:t>若未出现以上情形，则实际到期日即为名义到期日，存续期限</w:t>
            </w:r>
            <w:r>
              <w:rPr>
                <w:rFonts w:ascii="方正黑体_GBK" w:hAnsi="方正黑体_GBK" w:eastAsia="方正黑体_GBK" w:cs="宋体"/>
                <w:b/>
                <w:sz w:val="22"/>
                <w:szCs w:val="22"/>
              </w:rPr>
              <w:t>100天</w:t>
            </w:r>
            <w:r>
              <w:rPr>
                <w:rFonts w:ascii="方正黑体_GBK" w:hAnsi="方正黑体_GBK" w:eastAsia="方正黑体_GBK" w:cs="宋体"/>
                <w:sz w:val="22"/>
                <w:szCs w:val="22"/>
              </w:rPr>
              <w:t>；若出现以上情形，则理财存续期限和实际到期日将相应调整，管理人将至少提前3个工作日进行信息披露。）</w:t>
            </w:r>
          </w:p>
        </w:tc>
      </w:tr>
      <w:tr w14:paraId="5B2F19C7">
        <w:trPr>
          <w:trHeight w:val="5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EB7B73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名义到期日</w:t>
            </w:r>
          </w:p>
        </w:tc>
        <w:tc>
          <w:tcPr>
            <w:tcW w:w="5543" w:type="dxa"/>
            <w:tcBorders>
              <w:top w:val="single" w:color="auto" w:sz="4" w:space="0"/>
              <w:left w:val="nil"/>
              <w:bottom w:val="single" w:color="auto" w:sz="4" w:space="0"/>
              <w:right w:val="single" w:color="auto" w:sz="4" w:space="0"/>
              <w:tl2br w:val="nil"/>
              <w:tr2bl w:val="nil"/>
            </w:tcBorders>
            <w:vAlign w:val="center"/>
          </w:tcPr>
          <w:p w14:paraId="33EA3C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2027年01月07日</w:t>
            </w:r>
          </w:p>
        </w:tc>
      </w:tr>
      <w:tr w14:paraId="19CB1624">
        <w:trPr>
          <w:trHeight w:val="359"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B289C0B">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到期兑付金额计算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7818D6A5">
            <w:pPr>
              <w:spacing w:line="240" w:lineRule="auto"/>
              <w:rPr>
                <w:sz w:val="28"/>
                <w:szCs w:val="28"/>
              </w:rPr>
            </w:pPr>
            <w:r>
              <w:rPr>
                <w:rFonts w:ascii="方正黑体_GBK" w:hAnsi="方正黑体_GBK" w:eastAsia="方正黑体_GBK" w:cs="宋体"/>
                <w:color w:val="000000"/>
                <w:sz w:val="22"/>
                <w:szCs w:val="22"/>
              </w:rPr>
              <w:t>到期兑付金额=到期时持有份额×R。 R为期末理财产品单位净值。（已扣除相关费用，到期兑付金额以去尾法保留两位小数）</w:t>
            </w:r>
          </w:p>
        </w:tc>
      </w:tr>
      <w:tr w14:paraId="7318A2FB">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E8111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收益分配</w:t>
            </w:r>
          </w:p>
        </w:tc>
        <w:tc>
          <w:tcPr>
            <w:tcW w:w="5543" w:type="dxa"/>
            <w:tcBorders>
              <w:top w:val="single" w:color="auto" w:sz="4" w:space="0"/>
              <w:left w:val="nil"/>
              <w:bottom w:val="single" w:color="auto" w:sz="4" w:space="0"/>
              <w:right w:val="single" w:color="auto" w:sz="4" w:space="0"/>
              <w:tl2br w:val="nil"/>
              <w:tr2bl w:val="nil"/>
            </w:tcBorders>
            <w:vAlign w:val="center"/>
          </w:tcPr>
          <w:p w14:paraId="4E2DAF73">
            <w:pPr>
              <w:spacing w:line="240" w:lineRule="auto"/>
              <w:rPr>
                <w:sz w:val="28"/>
                <w:szCs w:val="28"/>
              </w:rPr>
            </w:pPr>
            <w:r>
              <w:rPr>
                <w:rFonts w:ascii="方正黑体_GBK" w:hAnsi="方正黑体_GBK" w:eastAsia="方正黑体_GBK" w:cs="宋体"/>
                <w:sz w:val="22"/>
                <w:szCs w:val="22"/>
              </w:rPr>
              <w:t>（一）收益的构成</w:t>
            </w:r>
          </w:p>
          <w:p w14:paraId="7DFCB57E">
            <w:pPr>
              <w:spacing w:line="240" w:lineRule="auto"/>
              <w:rPr>
                <w:sz w:val="28"/>
                <w:szCs w:val="28"/>
              </w:rPr>
            </w:pPr>
            <w:r>
              <w:rPr>
                <w:rFonts w:ascii="方正黑体_GBK" w:hAnsi="方正黑体_GBK" w:eastAsia="方正黑体_GBK" w:cs="宋体"/>
                <w:sz w:val="22"/>
                <w:szCs w:val="22"/>
              </w:rPr>
              <w:t>理财产品收益包括产品投资收益、利息收入、公允价值变动收益和其他收入并扣除相关费用后的余额。</w:t>
            </w:r>
          </w:p>
          <w:p w14:paraId="5865561A">
            <w:pPr>
              <w:spacing w:line="240" w:lineRule="auto"/>
              <w:rPr>
                <w:sz w:val="28"/>
                <w:szCs w:val="28"/>
              </w:rPr>
            </w:pPr>
            <w:r>
              <w:rPr>
                <w:rFonts w:ascii="方正黑体_GBK" w:hAnsi="方正黑体_GBK" w:eastAsia="方正黑体_GBK" w:cs="宋体"/>
                <w:sz w:val="22"/>
                <w:szCs w:val="22"/>
              </w:rPr>
              <w:t>（二）收益分配原则</w:t>
            </w:r>
          </w:p>
          <w:p w14:paraId="028A45C5">
            <w:pPr>
              <w:spacing w:line="240" w:lineRule="auto"/>
              <w:rPr>
                <w:sz w:val="28"/>
                <w:szCs w:val="28"/>
              </w:rPr>
            </w:pPr>
            <w:r>
              <w:rPr>
                <w:rFonts w:ascii="方正黑体_GBK" w:hAnsi="方正黑体_GBK" w:eastAsia="方正黑体_GBK" w:cs="宋体"/>
                <w:sz w:val="22"/>
                <w:szCs w:val="22"/>
              </w:rPr>
              <w:t>1.每一理财产品同一类份额享有同等分配权。如各类份额在费用收取上不同，其对应的可分配收益可能有所不同。</w:t>
            </w:r>
          </w:p>
          <w:p w14:paraId="5A118D4F">
            <w:pPr>
              <w:spacing w:line="240" w:lineRule="auto"/>
              <w:rPr>
                <w:sz w:val="28"/>
                <w:szCs w:val="28"/>
              </w:rPr>
            </w:pPr>
            <w:r>
              <w:rPr>
                <w:rFonts w:ascii="方正黑体_GBK" w:hAnsi="方正黑体_GBK" w:eastAsia="方正黑体_GBK" w:cs="宋体"/>
                <w:sz w:val="22"/>
                <w:szCs w:val="22"/>
              </w:rPr>
              <w:t>2.在符合法律法规及理财产品销售文件约定，并对理财产品份额持有人利益无实质不利影响的前提下，管理人可对理财产品期间收益分配原则及方式进行调整，并在调整前至少3个工作日进行披露。</w:t>
            </w:r>
          </w:p>
          <w:p w14:paraId="079D507A">
            <w:pPr>
              <w:spacing w:line="240" w:lineRule="auto"/>
              <w:rPr>
                <w:sz w:val="28"/>
                <w:szCs w:val="28"/>
              </w:rPr>
            </w:pPr>
            <w:r>
              <w:rPr>
                <w:rFonts w:ascii="方正黑体_GBK" w:hAnsi="方正黑体_GBK" w:eastAsia="方正黑体_GBK" w:cs="宋体"/>
                <w:sz w:val="22"/>
                <w:szCs w:val="22"/>
              </w:rPr>
              <w:t>3.法律法规或监管机构另有规定的，从其规定。</w:t>
            </w:r>
          </w:p>
          <w:p w14:paraId="35CE0BEC">
            <w:pPr>
              <w:spacing w:line="240" w:lineRule="auto"/>
              <w:rPr>
                <w:sz w:val="28"/>
                <w:szCs w:val="28"/>
              </w:rPr>
            </w:pPr>
            <w:r>
              <w:rPr>
                <w:rFonts w:ascii="方正黑体_GBK" w:hAnsi="方正黑体_GBK" w:eastAsia="方正黑体_GBK" w:cs="宋体"/>
                <w:sz w:val="22"/>
                <w:szCs w:val="22"/>
              </w:rPr>
              <w:t>（三）收益分配方案的确定与披露</w:t>
            </w:r>
          </w:p>
          <w:p w14:paraId="4917F1D8">
            <w:pPr>
              <w:spacing w:line="240" w:lineRule="auto"/>
              <w:rPr>
                <w:sz w:val="28"/>
                <w:szCs w:val="28"/>
              </w:rPr>
            </w:pPr>
            <w:r>
              <w:rPr>
                <w:rFonts w:ascii="方正黑体_GBK" w:hAnsi="方正黑体_GBK" w:eastAsia="方正黑体_GBK" w:cs="宋体"/>
                <w:sz w:val="22"/>
                <w:szCs w:val="22"/>
              </w:rPr>
              <w:t>1.期间分配</w:t>
            </w:r>
          </w:p>
          <w:p w14:paraId="45D9CDBA">
            <w:pPr>
              <w:spacing w:line="240" w:lineRule="auto"/>
              <w:rPr>
                <w:sz w:val="28"/>
                <w:szCs w:val="28"/>
              </w:rPr>
            </w:pPr>
            <w:r>
              <w:rPr>
                <w:rFonts w:ascii="方正黑体_GBK" w:hAnsi="方正黑体_GBK" w:eastAsia="方正黑体_GBK" w:cs="宋体"/>
                <w:sz w:val="22"/>
                <w:szCs w:val="22"/>
              </w:rPr>
              <w:t>本理财产品存续期间不进行收益分配。</w:t>
            </w:r>
          </w:p>
          <w:p w14:paraId="35C197EC">
            <w:pPr>
              <w:spacing w:line="240" w:lineRule="auto"/>
              <w:rPr>
                <w:sz w:val="28"/>
                <w:szCs w:val="28"/>
              </w:rPr>
            </w:pPr>
            <w:r>
              <w:rPr>
                <w:rFonts w:ascii="方正黑体_GBK" w:hAnsi="方正黑体_GBK" w:eastAsia="方正黑体_GBK" w:cs="宋体"/>
                <w:sz w:val="22"/>
                <w:szCs w:val="22"/>
              </w:rPr>
              <w:t>2.终止分配</w:t>
            </w:r>
          </w:p>
          <w:p w14:paraId="53030403">
            <w:pPr>
              <w:spacing w:line="240" w:lineRule="auto"/>
              <w:rPr>
                <w:sz w:val="28"/>
                <w:szCs w:val="28"/>
              </w:rPr>
            </w:pPr>
            <w:r>
              <w:rPr>
                <w:rFonts w:ascii="方正黑体_GBK" w:hAnsi="方正黑体_GBK" w:eastAsia="方正黑体_GBK" w:cs="宋体"/>
                <w:sz w:val="22"/>
                <w:szCs w:val="22"/>
              </w:rPr>
              <w:t>本理财产品到期或提前终止，管理人按照投资者持有理财产品份额分配清算款项。兑付资金于到期或提前终止日后5个工作日内划入投资者授权指定账户。兑付金额按照去尾法保留两位小数。投资者通过代销机构渠道购买理财产品的，理财资金划转至投资者账户的时间以代销机构的清算时间为准。</w:t>
            </w:r>
          </w:p>
        </w:tc>
      </w:tr>
      <w:tr w14:paraId="49AE1110">
        <w:trPr>
          <w:trHeight w:val="2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24C67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资金到账日</w:t>
            </w:r>
          </w:p>
        </w:tc>
        <w:tc>
          <w:tcPr>
            <w:tcW w:w="5543" w:type="dxa"/>
            <w:tcBorders>
              <w:top w:val="single" w:color="auto" w:sz="4" w:space="0"/>
              <w:left w:val="nil"/>
              <w:bottom w:val="single" w:color="auto" w:sz="4" w:space="0"/>
              <w:right w:val="single" w:color="auto" w:sz="4" w:space="0"/>
              <w:tl2br w:val="nil"/>
              <w:tr2bl w:val="nil"/>
            </w:tcBorders>
            <w:vAlign w:val="center"/>
          </w:tcPr>
          <w:p w14:paraId="4F02F7FE">
            <w:pPr>
              <w:spacing w:line="240" w:lineRule="auto"/>
              <w:rPr>
                <w:sz w:val="28"/>
                <w:szCs w:val="28"/>
              </w:rPr>
            </w:pPr>
            <w:r>
              <w:rPr>
                <w:rFonts w:ascii="方正黑体_GBK" w:hAnsi="方正黑体_GBK" w:eastAsia="方正黑体_GBK" w:cs="宋体"/>
                <w:sz w:val="22"/>
                <w:szCs w:val="22"/>
              </w:rPr>
              <w:t>到期资金将于实际到期日后5个工作日内划入投资者授权指定账户。</w:t>
            </w:r>
          </w:p>
        </w:tc>
      </w:tr>
      <w:tr w14:paraId="070C963A">
        <w:trPr>
          <w:trHeight w:val="25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C7E947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投资范围</w:t>
            </w:r>
          </w:p>
        </w:tc>
        <w:tc>
          <w:tcPr>
            <w:tcW w:w="5543" w:type="dxa"/>
            <w:tcBorders>
              <w:top w:val="single" w:color="auto" w:sz="4" w:space="0"/>
              <w:left w:val="nil"/>
              <w:bottom w:val="single" w:color="auto" w:sz="4" w:space="0"/>
              <w:right w:val="single" w:color="auto" w:sz="4" w:space="0"/>
              <w:tl2br w:val="nil"/>
              <w:tr2bl w:val="nil"/>
            </w:tcBorders>
            <w:vAlign w:val="center"/>
          </w:tcPr>
          <w:p w14:paraId="6036C69F">
            <w:pPr>
              <w:spacing w:line="240" w:lineRule="auto"/>
              <w:jc w:val="left"/>
              <w:rPr>
                <w:sz w:val="28"/>
                <w:szCs w:val="28"/>
              </w:rPr>
            </w:pPr>
            <w:r>
              <w:rPr>
                <w:rFonts w:ascii="方正黑体_GBK" w:hAnsi="方正黑体_GBK" w:eastAsia="方正黑体_GBK" w:cs="宋体"/>
                <w:sz w:val="22"/>
                <w:szCs w:val="22"/>
              </w:rPr>
              <w:t>本理财产品募集的资金投资于以下金融资产和金融工具，包括但不限于：</w:t>
            </w:r>
          </w:p>
          <w:p w14:paraId="08C7505E">
            <w:pPr>
              <w:spacing w:line="240" w:lineRule="auto"/>
              <w:jc w:val="left"/>
              <w:rPr>
                <w:sz w:val="28"/>
                <w:szCs w:val="28"/>
              </w:rPr>
            </w:pPr>
            <w:r>
              <w:rPr>
                <w:rFonts w:ascii="方正黑体_GBK" w:hAnsi="方正黑体_GBK" w:eastAsia="方正黑体_GBK" w:cs="宋体"/>
                <w:sz w:val="22"/>
                <w:szCs w:val="22"/>
              </w:rPr>
              <w:t>1.现金、银行存款、银行承兑汇票、同业存款、大额存单、同业存单、债券回购、货币基金等货币市场工具；</w:t>
            </w:r>
          </w:p>
          <w:p w14:paraId="2318DF0F">
            <w:pPr>
              <w:spacing w:line="240" w:lineRule="auto"/>
              <w:jc w:val="left"/>
              <w:rPr>
                <w:sz w:val="28"/>
                <w:szCs w:val="28"/>
              </w:rPr>
            </w:pPr>
            <w:r>
              <w:rPr>
                <w:rFonts w:ascii="方正黑体_GBK" w:hAnsi="方正黑体_GBK" w:eastAsia="方正黑体_GBK" w:cs="宋体"/>
                <w:sz w:val="22"/>
                <w:szCs w:val="22"/>
              </w:rPr>
              <w:t>2.国债、央票、企业债、金融债、政策性金融债、次级债、二级资本债、永续债、资产支持证券、资产支持票据、地方政府债、中期票据、超短期融资券、短期融资券、公司债、可转债、可交债、非公开定向债务融资工具(PPN)、公募债券型证券投资基金等标准化债权类资产；</w:t>
            </w:r>
          </w:p>
          <w:p w14:paraId="78DBBA2F">
            <w:pPr>
              <w:spacing w:line="240" w:lineRule="auto"/>
              <w:jc w:val="left"/>
              <w:rPr>
                <w:sz w:val="28"/>
                <w:szCs w:val="28"/>
              </w:rPr>
            </w:pPr>
            <w:r>
              <w:rPr>
                <w:rFonts w:ascii="方正黑体_GBK" w:hAnsi="方正黑体_GBK" w:eastAsia="方正黑体_GBK" w:cs="宋体"/>
                <w:sz w:val="22"/>
                <w:szCs w:val="22"/>
              </w:rPr>
              <w:t>3.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14:paraId="777AC496">
            <w:pPr>
              <w:spacing w:line="240" w:lineRule="auto"/>
              <w:jc w:val="left"/>
              <w:rPr>
                <w:sz w:val="28"/>
                <w:szCs w:val="28"/>
              </w:rPr>
            </w:pPr>
            <w:r>
              <w:rPr>
                <w:rFonts w:ascii="方正黑体_GBK" w:hAnsi="方正黑体_GBK" w:eastAsia="方正黑体_GBK" w:cs="宋体"/>
                <w:sz w:val="22"/>
                <w:szCs w:val="22"/>
              </w:rPr>
              <w:t>4.投资范围为上述资产的信托计划、资产管理计划等资产管理产品；</w:t>
            </w:r>
          </w:p>
          <w:p w14:paraId="5AF2C49C">
            <w:pPr>
              <w:spacing w:line="240" w:lineRule="auto"/>
              <w:jc w:val="left"/>
              <w:rPr>
                <w:sz w:val="28"/>
                <w:szCs w:val="28"/>
              </w:rPr>
            </w:pPr>
            <w:r>
              <w:rPr>
                <w:rFonts w:ascii="方正黑体_GBK" w:hAnsi="方正黑体_GBK" w:eastAsia="方正黑体_GBK" w:cs="宋体"/>
                <w:sz w:val="22"/>
                <w:szCs w:val="22"/>
              </w:rPr>
              <w:t>5.法律法规或监管机构允许投资的符合本理财产品投资性质的其他金融工具。</w:t>
            </w:r>
          </w:p>
        </w:tc>
      </w:tr>
      <w:tr w14:paraId="17CE50F1">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A4CDD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投资比例</w:t>
            </w:r>
          </w:p>
        </w:tc>
        <w:tc>
          <w:tcPr>
            <w:tcW w:w="5543" w:type="dxa"/>
            <w:tcBorders>
              <w:top w:val="single" w:color="auto" w:sz="4" w:space="0"/>
              <w:left w:val="nil"/>
              <w:bottom w:val="single" w:color="auto" w:sz="4" w:space="0"/>
              <w:right w:val="single" w:color="auto" w:sz="4" w:space="0"/>
              <w:tl2br w:val="nil"/>
              <w:tr2bl w:val="nil"/>
            </w:tcBorders>
            <w:vAlign w:val="center"/>
          </w:tcPr>
          <w:p w14:paraId="760C1BA7">
            <w:pPr>
              <w:spacing w:line="240" w:lineRule="auto"/>
              <w:rPr>
                <w:sz w:val="28"/>
                <w:szCs w:val="28"/>
              </w:rPr>
            </w:pPr>
            <w:r>
              <w:rPr>
                <w:rFonts w:ascii="方正黑体_GBK" w:hAnsi="方正黑体_GBK" w:eastAsia="方正黑体_GBK" w:cs="宋体"/>
                <w:sz w:val="22"/>
                <w:szCs w:val="22"/>
              </w:rPr>
              <w:t>本理财产品投资于固定收益类资产的比例不低于80%,投资于非标准化债权类资产的比例不高于50%。</w:t>
            </w:r>
          </w:p>
          <w:p w14:paraId="444D2790">
            <w:pPr>
              <w:spacing w:line="240" w:lineRule="auto"/>
              <w:rPr>
                <w:sz w:val="28"/>
                <w:szCs w:val="28"/>
              </w:rPr>
            </w:pPr>
            <w:r>
              <w:rPr>
                <w:rFonts w:ascii="方正黑体_GBK" w:hAnsi="方正黑体_GBK" w:eastAsia="方正黑体_GBK" w:cs="宋体"/>
                <w:b/>
                <w:color w:val="000000"/>
                <w:sz w:val="22"/>
                <w:szCs w:val="22"/>
                <w:shd w:val="clear" w:fill="FAFAFA"/>
              </w:rPr>
              <w:t>注：非因管理人主观因素导致突破上述比例限制的，管理人将在流动性受限资产可出售、可转让或者恢复交易的15个交易日内将投资比例调整至符合说明书约定的范围。</w:t>
            </w:r>
          </w:p>
        </w:tc>
      </w:tr>
      <w:tr w14:paraId="4FECCE6E">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C607EB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投资策略</w:t>
            </w:r>
          </w:p>
        </w:tc>
        <w:tc>
          <w:tcPr>
            <w:tcW w:w="5543" w:type="dxa"/>
            <w:tcBorders>
              <w:top w:val="single" w:color="auto" w:sz="4" w:space="0"/>
              <w:left w:val="nil"/>
              <w:bottom w:val="single" w:color="auto" w:sz="4" w:space="0"/>
              <w:right w:val="single" w:color="auto" w:sz="4" w:space="0"/>
              <w:tl2br w:val="nil"/>
              <w:tr2bl w:val="nil"/>
            </w:tcBorders>
            <w:vAlign w:val="center"/>
          </w:tcPr>
          <w:p w14:paraId="5DE3AAB2">
            <w:pPr>
              <w:spacing w:line="240" w:lineRule="auto"/>
              <w:rPr>
                <w:sz w:val="28"/>
                <w:szCs w:val="28"/>
              </w:rPr>
            </w:pPr>
            <w:r>
              <w:rPr>
                <w:rFonts w:ascii="方正黑体_GBK" w:hAnsi="方正黑体_GBK" w:eastAsia="方正黑体_GBK" w:cs="宋体"/>
                <w:sz w:val="22"/>
                <w:szCs w:val="22"/>
              </w:rPr>
              <w:t>本产品在严格控制风险（包括流动性风险、市场风险、信用风险）的前提下，以自上而下的经济基本面分析为基础，合理筛选资产，力争实现资产的稳健增长。</w:t>
            </w:r>
          </w:p>
        </w:tc>
      </w:tr>
      <w:tr w14:paraId="77306238">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3BA9A04">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拟投资非标准化债权类资产</w:t>
            </w:r>
          </w:p>
        </w:tc>
        <w:tc>
          <w:tcPr>
            <w:tcW w:w="5543" w:type="dxa"/>
            <w:tcBorders>
              <w:top w:val="single" w:color="auto" w:sz="4" w:space="0"/>
              <w:left w:val="nil"/>
              <w:bottom w:val="single" w:color="auto" w:sz="4" w:space="0"/>
              <w:right w:val="single" w:color="auto" w:sz="4" w:space="0"/>
              <w:tl2br w:val="nil"/>
              <w:tr2bl w:val="nil"/>
            </w:tcBorders>
            <w:vAlign w:val="center"/>
          </w:tcPr>
          <w:p w14:paraId="58285910">
            <w:pPr>
              <w:spacing w:line="240" w:lineRule="auto"/>
              <w:rPr>
                <w:sz w:val="28"/>
                <w:szCs w:val="28"/>
              </w:rPr>
            </w:pPr>
            <w:r>
              <w:rPr>
                <w:rFonts w:ascii="方正黑体_GBK" w:hAnsi="方正黑体_GBK" w:eastAsia="方正黑体_GBK" w:cs="宋体"/>
                <w:b/>
                <w:sz w:val="22"/>
                <w:szCs w:val="22"/>
              </w:rPr>
              <w:t>本理财产品拟投资以下备选非标准化债权类资产：</w:t>
            </w:r>
          </w:p>
          <w:p w14:paraId="75457DCC">
            <w:pPr>
              <w:spacing w:line="240" w:lineRule="auto"/>
              <w:rPr>
                <w:sz w:val="28"/>
                <w:szCs w:val="28"/>
              </w:rPr>
            </w:pPr>
            <w:r>
              <w:rPr>
                <w:rFonts w:ascii="方正黑体_GBK" w:hAnsi="方正黑体_GBK" w:eastAsia="方正黑体_GBK" w:cs="宋体"/>
                <w:sz w:val="22"/>
                <w:szCs w:val="22"/>
              </w:rPr>
              <w:t>1.   同业借款：资产类型为南银理财有限责任公司向持牌金融机构发放的同业借款，资产到期日不超过理财产品到期日，融资人为中国中信金融资产管理股份有限公司。</w:t>
            </w:r>
          </w:p>
          <w:p w14:paraId="5BDFFC7B">
            <w:pPr>
              <w:spacing w:line="240" w:lineRule="auto"/>
              <w:rPr>
                <w:sz w:val="28"/>
                <w:szCs w:val="28"/>
              </w:rPr>
            </w:pPr>
            <w:r>
              <w:rPr>
                <w:rFonts w:ascii="方正黑体_GBK" w:hAnsi="方正黑体_GBK" w:eastAsia="方正黑体_GBK" w:cs="宋体"/>
                <w:sz w:val="22"/>
                <w:szCs w:val="22"/>
              </w:rPr>
              <w:t>2.   同业借款：资产类型为南银理财有限责任公司向持牌金融机构发放的同业借款，资产到期日不超过理财产品到期日，融资人为中国东方资产管理股份有限公司。</w:t>
            </w:r>
          </w:p>
          <w:p w14:paraId="43092F04">
            <w:pPr>
              <w:spacing w:line="240" w:lineRule="auto"/>
              <w:rPr>
                <w:sz w:val="28"/>
                <w:szCs w:val="28"/>
              </w:rPr>
            </w:pPr>
            <w:r>
              <w:rPr>
                <w:rFonts w:ascii="方正黑体_GBK" w:hAnsi="方正黑体_GBK" w:eastAsia="方正黑体_GBK" w:cs="宋体"/>
                <w:sz w:val="22"/>
                <w:szCs w:val="22"/>
              </w:rPr>
              <w:t>3.   同业借款：资产类型为南银理财有限责任公司向持牌金融机构发放的同业借款，资产到期日不超过理财产品到期日，融资人为中国信达资产管理股份有限公司。</w:t>
            </w:r>
          </w:p>
          <w:p w14:paraId="6C4EC868">
            <w:pPr>
              <w:spacing w:line="240" w:lineRule="auto"/>
              <w:rPr>
                <w:sz w:val="28"/>
                <w:szCs w:val="28"/>
              </w:rPr>
            </w:pPr>
            <w:r>
              <w:rPr>
                <w:rFonts w:ascii="方正黑体_GBK" w:hAnsi="方正黑体_GBK" w:eastAsia="方正黑体_GBK" w:cs="宋体"/>
                <w:sz w:val="22"/>
                <w:szCs w:val="22"/>
              </w:rPr>
              <w:t>4.   同业借款：资产类型为南银理财有限责任公司向持牌金融机构发放的同业借款，资产到期日不超过理财产品到期日，融资人为中国长城资产管理股份有限公司。</w:t>
            </w:r>
          </w:p>
          <w:p w14:paraId="39E5B293">
            <w:pPr>
              <w:spacing w:line="240" w:lineRule="auto"/>
              <w:rPr>
                <w:sz w:val="28"/>
                <w:szCs w:val="28"/>
              </w:rPr>
            </w:pPr>
            <w:r>
              <w:rPr>
                <w:rFonts w:ascii="方正黑体_GBK" w:hAnsi="方正黑体_GBK" w:eastAsia="方正黑体_GBK" w:cs="宋体"/>
                <w:sz w:val="22"/>
                <w:szCs w:val="22"/>
              </w:rPr>
              <w:t>5.   券商收益凭证：资产类型为证券公司发行的收益凭证，资产到期日不超过理财产品到期日，融资人为华宝证券股份有限公司，融资人评级为AA+（评级机构为联合资信评估股份有限公司）。</w:t>
            </w:r>
          </w:p>
          <w:p w14:paraId="412A965A">
            <w:pPr>
              <w:spacing w:line="240" w:lineRule="auto"/>
              <w:rPr>
                <w:sz w:val="28"/>
                <w:szCs w:val="28"/>
              </w:rPr>
            </w:pPr>
            <w:r>
              <w:rPr>
                <w:rFonts w:ascii="方正黑体_GBK" w:hAnsi="方正黑体_GBK" w:eastAsia="方正黑体_GBK" w:cs="宋体"/>
                <w:sz w:val="22"/>
                <w:szCs w:val="22"/>
              </w:rPr>
              <w:t>6.   券商收益凭证：资产类型为证券公司发行的收益凭证，资产到期日不超过理财产品到期日，融资人为上海证券有限责任公司，融资人评级为AAA（评级机构为上海新世纪资信评估投资服务有限公司）。</w:t>
            </w:r>
          </w:p>
          <w:p w14:paraId="4EBA3F97">
            <w:pPr>
              <w:spacing w:line="240" w:lineRule="auto"/>
              <w:rPr>
                <w:sz w:val="28"/>
                <w:szCs w:val="28"/>
              </w:rPr>
            </w:pPr>
            <w:r>
              <w:rPr>
                <w:rFonts w:ascii="方正黑体_GBK" w:hAnsi="方正黑体_GBK" w:eastAsia="方正黑体_GBK" w:cs="宋体"/>
                <w:sz w:val="22"/>
                <w:szCs w:val="22"/>
              </w:rPr>
              <w:t>7.   券商收益凭证：资产类型为证券公司发行的收益凭证，资产到期日不超过理财产品到期日，融资人为山西证券股份有限公司，融资人评级为AAA（评级机构为中诚信国际信用评级有限责任公司）。</w:t>
            </w:r>
          </w:p>
          <w:p w14:paraId="6885907A">
            <w:pPr>
              <w:spacing w:line="240" w:lineRule="auto"/>
              <w:rPr>
                <w:sz w:val="28"/>
                <w:szCs w:val="28"/>
              </w:rPr>
            </w:pPr>
            <w:r>
              <w:rPr>
                <w:rFonts w:ascii="方正黑体_GBK" w:hAnsi="方正黑体_GBK" w:eastAsia="方正黑体_GBK" w:cs="宋体"/>
                <w:sz w:val="22"/>
                <w:szCs w:val="22"/>
              </w:rPr>
              <w:t>8.   券商收益凭证：资产类型为证券公司发行的收益凭证，资产到期日不超过理财产品到期日，融资人为中银国际证券股份有限公司，融资人评级为AAA（评级机构为中诚信国际信用评级有限责任公司）。</w:t>
            </w:r>
          </w:p>
          <w:p w14:paraId="5995E301">
            <w:pPr>
              <w:spacing w:line="240" w:lineRule="auto"/>
              <w:rPr>
                <w:sz w:val="28"/>
                <w:szCs w:val="28"/>
              </w:rPr>
            </w:pPr>
            <w:r>
              <w:rPr>
                <w:rFonts w:ascii="方正黑体_GBK" w:hAnsi="方正黑体_GBK" w:eastAsia="方正黑体_GBK" w:cs="宋体"/>
                <w:sz w:val="22"/>
                <w:szCs w:val="22"/>
              </w:rPr>
              <w:t>9.   券商收益凭证：资产类型为证券公司发行的收益凭证，资产到期日不超过理财产品到期日，融资人为首创证券股份有限公司，融资人评级为AAA（评级机构为中诚信国际信用评级有限责任公司）。</w:t>
            </w:r>
          </w:p>
          <w:p w14:paraId="5405B209">
            <w:pPr>
              <w:spacing w:line="240" w:lineRule="auto"/>
              <w:rPr>
                <w:sz w:val="28"/>
                <w:szCs w:val="28"/>
              </w:rPr>
            </w:pPr>
            <w:r>
              <w:rPr>
                <w:rFonts w:ascii="方正黑体_GBK" w:hAnsi="方正黑体_GBK" w:eastAsia="方正黑体_GBK" w:cs="宋体"/>
                <w:sz w:val="22"/>
                <w:szCs w:val="22"/>
              </w:rPr>
              <w:t>10.  券商收益凭证：资产类型为证券公司发行的收益凭证，资产到期日不超过理财产品到期日，融资人为国泰海通证券股份有限公司，融资人评级为AAA（评级机构为上海新世纪资信评估投资服务有限公司）。</w:t>
            </w:r>
          </w:p>
          <w:p w14:paraId="1EC83E8A">
            <w:pPr>
              <w:spacing w:line="240" w:lineRule="auto"/>
              <w:rPr>
                <w:sz w:val="28"/>
                <w:szCs w:val="28"/>
              </w:rPr>
            </w:pPr>
            <w:r>
              <w:rPr>
                <w:rFonts w:ascii="方正黑体_GBK" w:hAnsi="方正黑体_GBK" w:eastAsia="方正黑体_GBK" w:cs="宋体"/>
                <w:sz w:val="22"/>
                <w:szCs w:val="22"/>
              </w:rPr>
              <w:t>11.  券商收益凭证：资产类型为证券公司发行的收益凭证，资产到期日不超过理财产品到期日，融资人为中信证券股份有限公司，融资人评级为AAA（评级机构为中诚信国际信用评级有限责任公司）。</w:t>
            </w:r>
          </w:p>
          <w:p w14:paraId="2E5BAA0E">
            <w:pPr>
              <w:spacing w:line="240" w:lineRule="auto"/>
              <w:rPr>
                <w:sz w:val="28"/>
                <w:szCs w:val="28"/>
              </w:rPr>
            </w:pPr>
            <w:r>
              <w:rPr>
                <w:rFonts w:ascii="方正黑体_GBK" w:hAnsi="方正黑体_GBK" w:eastAsia="方正黑体_GBK" w:cs="宋体"/>
                <w:sz w:val="22"/>
                <w:szCs w:val="22"/>
              </w:rPr>
              <w:t>12.  券商收益凭证：资产类型为证券公司发行的收益凭证，资产到期日不超过理财产品到期日，融资人为华泰证券股份有限公司，融资人评级为AAA（评级机构为上海新世纪资信评估投资服务有限公司）。</w:t>
            </w:r>
          </w:p>
          <w:p w14:paraId="6F03AC83">
            <w:pPr>
              <w:spacing w:line="240" w:lineRule="auto"/>
              <w:rPr>
                <w:sz w:val="28"/>
                <w:szCs w:val="28"/>
              </w:rPr>
            </w:pPr>
            <w:r>
              <w:rPr>
                <w:rFonts w:ascii="方正黑体_GBK" w:hAnsi="方正黑体_GBK" w:eastAsia="方正黑体_GBK" w:cs="宋体"/>
                <w:sz w:val="22"/>
                <w:szCs w:val="22"/>
              </w:rPr>
              <w:t>13.  券商收益凭证：资产类型为证券公司发行的收益凭证，资产到期日不超过理财产品到期日，融资人为中信建投证券股份有限公司，融资人评级为AAA（评级机构为中诚信国际信用评级有限责任公司）。</w:t>
            </w:r>
          </w:p>
          <w:p w14:paraId="030FDA46">
            <w:pPr>
              <w:spacing w:line="240" w:lineRule="auto"/>
              <w:rPr>
                <w:sz w:val="28"/>
                <w:szCs w:val="28"/>
              </w:rPr>
            </w:pPr>
            <w:r>
              <w:rPr>
                <w:rFonts w:ascii="方正黑体_GBK" w:hAnsi="方正黑体_GBK" w:eastAsia="方正黑体_GBK" w:cs="宋体"/>
                <w:sz w:val="22"/>
                <w:szCs w:val="22"/>
              </w:rPr>
              <w:t>14.  券商收益凭证：资产类型为证券公司发行的收益凭证，资产到期日不超过理财产品到期日，融资人为中国银河证券股份有限公司，融资人评级为AAA（评级机构为联合资信评估股份有限公司）。</w:t>
            </w:r>
          </w:p>
          <w:p w14:paraId="1827A361">
            <w:pPr>
              <w:spacing w:line="240" w:lineRule="auto"/>
              <w:rPr>
                <w:sz w:val="28"/>
                <w:szCs w:val="28"/>
              </w:rPr>
            </w:pPr>
            <w:r>
              <w:rPr>
                <w:rFonts w:ascii="方正黑体_GBK" w:hAnsi="方正黑体_GBK" w:eastAsia="方正黑体_GBK" w:cs="宋体"/>
                <w:sz w:val="22"/>
                <w:szCs w:val="22"/>
              </w:rPr>
              <w:t>15.  券商收益凭证：资产类型为证券公司发行的收益凭证，资产到期日不超过理财产品到期日，融资人为申万宏源证券有限公司，融资人评级为AAA（评级机构为联合资信评估股份有限公司）。</w:t>
            </w:r>
          </w:p>
          <w:p w14:paraId="24462176">
            <w:pPr>
              <w:spacing w:line="240" w:lineRule="auto"/>
              <w:rPr>
                <w:sz w:val="28"/>
                <w:szCs w:val="28"/>
              </w:rPr>
            </w:pPr>
            <w:r>
              <w:rPr>
                <w:rFonts w:ascii="方正黑体_GBK" w:hAnsi="方正黑体_GBK" w:eastAsia="方正黑体_GBK" w:cs="宋体"/>
                <w:sz w:val="22"/>
                <w:szCs w:val="22"/>
              </w:rPr>
              <w:t>16.  券商收益凭证：资产类型为证券公司发行的收益凭证，资产到期日不超过理财产品到期日，融资人为中国国际金融股份有限公司，融资人评级为AAA（评级机构为中诚信国际信用评级有限责任公司）。</w:t>
            </w:r>
          </w:p>
          <w:p w14:paraId="0A8F644C">
            <w:pPr>
              <w:spacing w:line="240" w:lineRule="auto"/>
              <w:rPr>
                <w:sz w:val="28"/>
                <w:szCs w:val="28"/>
              </w:rPr>
            </w:pPr>
            <w:r>
              <w:rPr>
                <w:rFonts w:ascii="方正黑体_GBK" w:hAnsi="方正黑体_GBK" w:eastAsia="方正黑体_GBK" w:cs="宋体"/>
                <w:sz w:val="22"/>
                <w:szCs w:val="22"/>
              </w:rPr>
              <w:t>17.  券商收益凭证：资产类型为证券公司发行的收益凭证，资产到期日不超过理财产品到期日，融资人为招商证券股份有限公司，融资人评级为AAA（评级机构为联合资信评估股份有限公司）。</w:t>
            </w:r>
          </w:p>
          <w:p w14:paraId="0616FDC6">
            <w:pPr>
              <w:spacing w:line="240" w:lineRule="auto"/>
              <w:rPr>
                <w:sz w:val="28"/>
                <w:szCs w:val="28"/>
              </w:rPr>
            </w:pPr>
            <w:r>
              <w:rPr>
                <w:rFonts w:ascii="方正黑体_GBK" w:hAnsi="方正黑体_GBK" w:eastAsia="方正黑体_GBK" w:cs="宋体"/>
                <w:sz w:val="22"/>
                <w:szCs w:val="22"/>
              </w:rPr>
              <w:t>18.  券商收益凭证：资产类型为证券公司发行的收益凭证，资产到期日不超过理财产品到期日，融资人为平安证券股份有限公司，融资人评级为AAA（评级机构为中诚信国际信用评级有限责任公司）。</w:t>
            </w:r>
          </w:p>
          <w:p w14:paraId="7A4A6DE2">
            <w:pPr>
              <w:spacing w:line="240" w:lineRule="auto"/>
              <w:rPr>
                <w:sz w:val="28"/>
                <w:szCs w:val="28"/>
              </w:rPr>
            </w:pPr>
            <w:r>
              <w:rPr>
                <w:rFonts w:ascii="方正黑体_GBK" w:hAnsi="方正黑体_GBK" w:eastAsia="方正黑体_GBK" w:cs="宋体"/>
                <w:sz w:val="22"/>
                <w:szCs w:val="22"/>
              </w:rPr>
              <w:t>19.  券商收益凭证：资产类型为证券公司发行的收益凭证，资产到期日不超过理财产品到期日，融资人为广发证券股份有限公司，融资人评级为AAA（评级机构为中诚信国际信用评级有限责任公司）。</w:t>
            </w:r>
          </w:p>
          <w:p w14:paraId="432AD6FB">
            <w:pPr>
              <w:spacing w:line="240" w:lineRule="auto"/>
              <w:rPr>
                <w:sz w:val="28"/>
                <w:szCs w:val="28"/>
              </w:rPr>
            </w:pPr>
            <w:r>
              <w:rPr>
                <w:rFonts w:ascii="方正黑体_GBK" w:hAnsi="方正黑体_GBK" w:eastAsia="方正黑体_GBK" w:cs="宋体"/>
                <w:sz w:val="22"/>
                <w:szCs w:val="22"/>
              </w:rPr>
              <w:t>20.  券商收益凭证：资产类型为证券公司发行的收益凭证，资产到期日不超过理财产品到期日，融资人为国信证券股份有限公司，融资人评级为AAA（评级机构为中诚信国际信用评级有限责任公司）。</w:t>
            </w:r>
          </w:p>
          <w:p w14:paraId="0F881B07">
            <w:pPr>
              <w:spacing w:line="240" w:lineRule="auto"/>
              <w:rPr>
                <w:sz w:val="28"/>
                <w:szCs w:val="28"/>
              </w:rPr>
            </w:pPr>
            <w:r>
              <w:rPr>
                <w:rFonts w:ascii="方正黑体_GBK" w:hAnsi="方正黑体_GBK" w:eastAsia="方正黑体_GBK" w:cs="宋体"/>
                <w:sz w:val="22"/>
                <w:szCs w:val="22"/>
              </w:rPr>
              <w:t>21.  券商收益凭证：资产类型为证券公司发行的收益凭证，资产到期日不超过理财产品到期日，融资人为兴业证券股份有限公司，融资人评级为AAA（评级机构为联合资信评估股份有限公司）。</w:t>
            </w:r>
          </w:p>
          <w:p w14:paraId="52D78AFF">
            <w:pPr>
              <w:spacing w:line="240" w:lineRule="auto"/>
              <w:rPr>
                <w:sz w:val="28"/>
                <w:szCs w:val="28"/>
              </w:rPr>
            </w:pPr>
            <w:r>
              <w:rPr>
                <w:rFonts w:ascii="方正黑体_GBK" w:hAnsi="方正黑体_GBK" w:eastAsia="方正黑体_GBK" w:cs="宋体"/>
                <w:sz w:val="22"/>
                <w:szCs w:val="22"/>
              </w:rPr>
              <w:t>22.  券商收益凭证：资产类型为证券公司发行的收益凭证，资产到期日不超过理财产品到期日，融资人为光大证券股份有限公司，融资人评级为AAA（评级机构为联合资信评估股份有限公司）。</w:t>
            </w:r>
          </w:p>
          <w:p w14:paraId="0DE92D56">
            <w:pPr>
              <w:spacing w:line="240" w:lineRule="auto"/>
              <w:rPr>
                <w:sz w:val="28"/>
                <w:szCs w:val="28"/>
              </w:rPr>
            </w:pPr>
            <w:r>
              <w:rPr>
                <w:rFonts w:ascii="方正黑体_GBK" w:hAnsi="方正黑体_GBK" w:eastAsia="方正黑体_GBK" w:cs="宋体"/>
                <w:sz w:val="22"/>
                <w:szCs w:val="22"/>
              </w:rPr>
              <w:t>23.  券商收益凭证：资产类型为证券公司发行的收益凭证，资产到期日不超过理财产品到期日，融资人为华鑫证券有限责任公司，融资人评级为AA+（评级机构为上海新世纪资信评估投资服务有限公司）。</w:t>
            </w:r>
          </w:p>
          <w:p w14:paraId="0D49D296">
            <w:pPr>
              <w:spacing w:line="240" w:lineRule="auto"/>
              <w:rPr>
                <w:sz w:val="28"/>
                <w:szCs w:val="28"/>
              </w:rPr>
            </w:pPr>
            <w:r>
              <w:rPr>
                <w:rFonts w:ascii="方正黑体_GBK" w:hAnsi="方正黑体_GBK" w:eastAsia="方正黑体_GBK" w:cs="宋体"/>
                <w:sz w:val="22"/>
                <w:szCs w:val="22"/>
              </w:rPr>
              <w:t>24.  券商收益凭证：资产类型为证券公司发行的收益凭证，资产到期日不超过理财产品到期日，融资人为财通证券股份有限公司，融资人评级为AAA（评级机构为中诚信国际信用评级有限责任公司）。</w:t>
            </w:r>
          </w:p>
          <w:p w14:paraId="069418DA">
            <w:pPr>
              <w:spacing w:line="240" w:lineRule="auto"/>
              <w:rPr>
                <w:sz w:val="28"/>
                <w:szCs w:val="28"/>
              </w:rPr>
            </w:pPr>
            <w:r>
              <w:rPr>
                <w:rFonts w:ascii="方正黑体_GBK" w:hAnsi="方正黑体_GBK" w:eastAsia="方正黑体_GBK" w:cs="宋体"/>
                <w:sz w:val="22"/>
                <w:szCs w:val="22"/>
              </w:rPr>
              <w:t>25.  券商收益凭证：资产类型为证券公司发行的收益凭证，资产到期日不超过理财产品到期日，融资人为长江证券股份有限公司，融资人评级为AAA（评级机构为联合资信评估股份有限公司）。</w:t>
            </w:r>
          </w:p>
          <w:p w14:paraId="7B66DEDB">
            <w:pPr>
              <w:spacing w:line="240" w:lineRule="auto"/>
              <w:rPr>
                <w:sz w:val="28"/>
                <w:szCs w:val="28"/>
              </w:rPr>
            </w:pPr>
            <w:r>
              <w:rPr>
                <w:rFonts w:ascii="方正黑体_GBK" w:hAnsi="方正黑体_GBK" w:eastAsia="方正黑体_GBK" w:cs="宋体"/>
                <w:sz w:val="22"/>
                <w:szCs w:val="22"/>
              </w:rPr>
              <w:t>26.  券商收益凭证：资产类型为证券公司发行的收益凭证，资产到期日不超过理财产品到期日，融资人为国金证券股份有限公司，融资人评级为AAA（评级机构为上海新世纪资信评估投资服务有限公司）。</w:t>
            </w:r>
          </w:p>
          <w:p w14:paraId="370C6A82">
            <w:pPr>
              <w:spacing w:line="240" w:lineRule="auto"/>
              <w:rPr>
                <w:sz w:val="28"/>
                <w:szCs w:val="28"/>
              </w:rPr>
            </w:pPr>
            <w:r>
              <w:rPr>
                <w:rFonts w:ascii="方正黑体_GBK" w:hAnsi="方正黑体_GBK" w:eastAsia="方正黑体_GBK" w:cs="宋体"/>
                <w:sz w:val="22"/>
                <w:szCs w:val="22"/>
              </w:rPr>
              <w:t>27.  券商收益凭证：资产类型为证券公司发行的收益凭证，资产到期日不超过理财产品到期日，融资人为东方证券股份有限公司，融资人评级为AAA（评级机构为中诚信国际信用评级有限责任公司）。</w:t>
            </w:r>
          </w:p>
          <w:p w14:paraId="70F16490">
            <w:pPr>
              <w:spacing w:line="240" w:lineRule="auto"/>
              <w:rPr>
                <w:sz w:val="28"/>
                <w:szCs w:val="28"/>
              </w:rPr>
            </w:pPr>
            <w:r>
              <w:rPr>
                <w:rFonts w:ascii="方正黑体_GBK" w:hAnsi="方正黑体_GBK" w:eastAsia="方正黑体_GBK" w:cs="宋体"/>
                <w:sz w:val="22"/>
                <w:szCs w:val="22"/>
              </w:rPr>
              <w:t>28.  券商收益凭证：资产类型为证券公司发行的收益凭证，资产到期日不超过理财产品到期日，融资人为国投证券股份有限公司，融资人评级为AAA（评级机构为联合资信评估股份有限公司）。</w:t>
            </w:r>
          </w:p>
          <w:p w14:paraId="576C526E">
            <w:pPr>
              <w:spacing w:line="240" w:lineRule="auto"/>
              <w:rPr>
                <w:sz w:val="28"/>
                <w:szCs w:val="28"/>
              </w:rPr>
            </w:pPr>
            <w:r>
              <w:rPr>
                <w:rFonts w:ascii="方正黑体_GBK" w:hAnsi="方正黑体_GBK" w:eastAsia="方正黑体_GBK" w:cs="宋体"/>
                <w:b/>
                <w:sz w:val="22"/>
                <w:szCs w:val="22"/>
              </w:rPr>
              <w:t>以上资产剩余期限均不超过产品期限。</w:t>
            </w:r>
          </w:p>
          <w:p w14:paraId="1D4E814E">
            <w:pPr>
              <w:spacing w:line="240" w:lineRule="auto"/>
              <w:rPr>
                <w:sz w:val="28"/>
                <w:szCs w:val="28"/>
              </w:rPr>
            </w:pPr>
            <w:r>
              <w:rPr>
                <w:rFonts w:ascii="方正黑体_GBK" w:hAnsi="方正黑体_GBK" w:eastAsia="方正黑体_GBK" w:cs="宋体"/>
                <w:b/>
                <w:sz w:val="22"/>
                <w:szCs w:val="22"/>
              </w:rPr>
              <w:t>因产品实际募集规模和融资人资金需求存在不确定性，产品管理人将选择上述一笔或者多笔作为本理财产品投资的非标准化债权类资产，并在本理财产品的定期报告中进行信息披露。</w:t>
            </w:r>
          </w:p>
        </w:tc>
      </w:tr>
      <w:tr w14:paraId="71B56879">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371584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s="Times New Roman"/>
                <w:caps w:val="0"/>
                <w:smallCaps w:val="0"/>
                <w:snapToGrid/>
                <w:vanish w:val="0"/>
                <w:color w:val="auto"/>
                <w:kern w:val="0"/>
                <w:sz w:val="22"/>
                <w:szCs w:val="22"/>
                <w:vertAlign w:val="baseline"/>
              </w:rPr>
            </w:pPr>
            <w:r>
              <w:rPr>
                <w:rFonts w:hint="eastAsia" w:ascii="方正黑体_GBK" w:hAnsi="方正黑体_GBK" w:eastAsia="方正黑体_GBK" w:cs="Times New Roman"/>
                <w:bCs/>
                <w:caps w:val="0"/>
                <w:smallCaps w:val="0"/>
                <w:snapToGrid/>
                <w:vanish w:val="0"/>
                <w:color w:val="auto"/>
                <w:kern w:val="0"/>
                <w:sz w:val="22"/>
                <w:szCs w:val="22"/>
                <w:vertAlign w:val="baseline"/>
              </w:rPr>
              <w:t>业绩比较基准</w:t>
            </w:r>
          </w:p>
        </w:tc>
        <w:tc>
          <w:tcPr>
            <w:tcW w:w="5543" w:type="dxa"/>
            <w:tcBorders>
              <w:top w:val="single" w:color="auto" w:sz="4" w:space="0"/>
              <w:left w:val="nil"/>
              <w:bottom w:val="single" w:color="auto" w:sz="4" w:space="0"/>
              <w:right w:val="single" w:color="auto" w:sz="4" w:space="0"/>
              <w:tl2br w:val="nil"/>
              <w:tr2bl w:val="nil"/>
            </w:tcBorders>
            <w:vAlign w:val="center"/>
          </w:tcPr>
          <w:p w14:paraId="21FB43CB">
            <w:pPr>
              <w:spacing w:line="240" w:lineRule="auto"/>
              <w:rPr>
                <w:sz w:val="28"/>
                <w:szCs w:val="28"/>
              </w:rPr>
            </w:pPr>
            <w:r>
              <w:rPr>
                <w:rFonts w:ascii="方正黑体_GBK" w:hAnsi="方正黑体_GBK" w:eastAsia="方正黑体_GBK" w:cs="宋体"/>
                <w:sz w:val="22"/>
                <w:szCs w:val="22"/>
              </w:rPr>
              <w:t>A份额：业绩比较基准为1.68%(年化)。</w:t>
            </w:r>
          </w:p>
          <w:p w14:paraId="10CF3B34">
            <w:pPr>
              <w:spacing w:line="240" w:lineRule="auto"/>
              <w:rPr>
                <w:sz w:val="28"/>
                <w:szCs w:val="28"/>
              </w:rPr>
            </w:pPr>
            <w:r>
              <w:rPr>
                <w:rFonts w:ascii="方正黑体_GBK" w:hAnsi="方正黑体_GBK" w:eastAsia="方正黑体_GBK" w:cs="宋体"/>
                <w:sz w:val="22"/>
                <w:szCs w:val="22"/>
              </w:rPr>
              <w:t>B份额：业绩比较基准为1.78%(年化)。</w:t>
            </w:r>
          </w:p>
          <w:p w14:paraId="067F36B9">
            <w:pPr>
              <w:spacing w:line="240" w:lineRule="auto"/>
              <w:rPr>
                <w:sz w:val="28"/>
                <w:szCs w:val="28"/>
              </w:rPr>
            </w:pPr>
            <w:r>
              <w:rPr>
                <w:rFonts w:ascii="方正黑体_GBK" w:hAnsi="方正黑体_GBK" w:eastAsia="方正黑体_GBK" w:cs="宋体"/>
                <w:sz w:val="22"/>
                <w:szCs w:val="22"/>
              </w:rPr>
              <w:t>C份额：业绩比较基准为1.88%(年化)。</w:t>
            </w:r>
          </w:p>
          <w:p w14:paraId="6796F2C5">
            <w:pPr>
              <w:spacing w:line="240" w:lineRule="auto"/>
              <w:rPr>
                <w:sz w:val="28"/>
                <w:szCs w:val="28"/>
              </w:rPr>
            </w:pPr>
            <w:r>
              <w:rPr>
                <w:rFonts w:ascii="方正黑体_GBK" w:hAnsi="方正黑体_GBK" w:eastAsia="方正黑体_GBK" w:cs="宋体"/>
                <w:sz w:val="22"/>
                <w:szCs w:val="22"/>
              </w:rPr>
              <w:t>E份额：业绩比较基准为1.83%(年化)。</w:t>
            </w:r>
          </w:p>
          <w:p w14:paraId="52E42FEE">
            <w:pPr>
              <w:spacing w:line="240" w:lineRule="auto"/>
              <w:rPr>
                <w:sz w:val="28"/>
                <w:szCs w:val="28"/>
              </w:rPr>
            </w:pPr>
            <w:r>
              <w:rPr>
                <w:rFonts w:ascii="方正黑体_GBK" w:hAnsi="方正黑体_GBK" w:eastAsia="方正黑体_GBK" w:cs="宋体"/>
                <w:sz w:val="22"/>
                <w:szCs w:val="22"/>
              </w:rPr>
              <w:t>K份额：业绩比较基准为1.93%(年化)。</w:t>
            </w:r>
          </w:p>
          <w:p w14:paraId="54B0692A">
            <w:pPr>
              <w:spacing w:line="240" w:lineRule="auto"/>
              <w:rPr>
                <w:sz w:val="28"/>
                <w:szCs w:val="28"/>
              </w:rPr>
            </w:pPr>
            <w:r>
              <w:rPr>
                <w:rFonts w:ascii="方正黑体_GBK" w:hAnsi="方正黑体_GBK" w:eastAsia="方正黑体_GBK" w:cs="宋体"/>
                <w:sz w:val="22"/>
                <w:szCs w:val="22"/>
              </w:rPr>
              <w:t>L份额：业绩比较基准为1.93%(年化)。</w:t>
            </w:r>
          </w:p>
          <w:p w14:paraId="0A780705">
            <w:pPr>
              <w:spacing w:line="240" w:lineRule="auto"/>
              <w:rPr>
                <w:sz w:val="28"/>
                <w:szCs w:val="28"/>
              </w:rPr>
            </w:pPr>
            <w:r>
              <w:rPr>
                <w:rFonts w:ascii="方正黑体_GBK" w:hAnsi="方正黑体_GBK" w:eastAsia="方正黑体_GBK" w:cs="宋体"/>
                <w:sz w:val="22"/>
                <w:szCs w:val="22"/>
              </w:rPr>
              <w:t>N份额：业绩比较基准为1.68%(年化)。</w:t>
            </w:r>
          </w:p>
          <w:p w14:paraId="205BA894">
            <w:pPr>
              <w:spacing w:line="240" w:lineRule="auto"/>
              <w:rPr>
                <w:sz w:val="28"/>
                <w:szCs w:val="28"/>
              </w:rPr>
            </w:pPr>
            <w:r>
              <w:rPr>
                <w:rFonts w:ascii="方正黑体_GBK" w:hAnsi="方正黑体_GBK" w:eastAsia="方正黑体_GBK" w:cs="宋体"/>
                <w:sz w:val="22"/>
                <w:szCs w:val="22"/>
              </w:rPr>
              <w:t>O份额：业绩比较基准为1.88%(年化)。</w:t>
            </w:r>
          </w:p>
          <w:p w14:paraId="4FB40784">
            <w:pPr>
              <w:spacing w:line="240" w:lineRule="auto"/>
              <w:rPr>
                <w:sz w:val="28"/>
                <w:szCs w:val="28"/>
              </w:rPr>
            </w:pPr>
            <w:r>
              <w:rPr>
                <w:rFonts w:ascii="方正黑体_GBK" w:hAnsi="方正黑体_GBK" w:eastAsia="方正黑体_GBK" w:cs="宋体"/>
                <w:sz w:val="22"/>
                <w:szCs w:val="22"/>
              </w:rPr>
              <w:t>B2份额：业绩比较基准为1.83%(年化)。</w:t>
            </w:r>
          </w:p>
          <w:p w14:paraId="2744A6D1">
            <w:pPr>
              <w:spacing w:line="240" w:lineRule="auto"/>
              <w:rPr>
                <w:sz w:val="28"/>
                <w:szCs w:val="28"/>
              </w:rPr>
            </w:pPr>
            <w:r>
              <w:rPr>
                <w:rFonts w:ascii="方正黑体_GBK" w:hAnsi="方正黑体_GBK" w:eastAsia="方正黑体_GBK" w:cs="宋体"/>
                <w:sz w:val="22"/>
                <w:szCs w:val="22"/>
              </w:rPr>
              <w:t>本产品不同份额针对不同的销售机构及客群进行销售，设置有不同的销售费和管理费，导致业绩基准测算结果不同。</w:t>
            </w:r>
          </w:p>
          <w:p w14:paraId="4F522F9F">
            <w:pPr>
              <w:spacing w:line="240" w:lineRule="auto"/>
              <w:rPr>
                <w:sz w:val="28"/>
                <w:szCs w:val="28"/>
              </w:rPr>
            </w:pPr>
            <w:r>
              <w:rPr>
                <w:rFonts w:ascii="方正黑体_GBK" w:hAnsi="方正黑体_GBK" w:eastAsia="方正黑体_GBK" w:cs="宋体"/>
                <w:sz w:val="22"/>
                <w:szCs w:val="22"/>
              </w:rPr>
              <w:t>本理财产品业绩比较基准是管理人基于过往投资经验、对产品存续期拟投资标的和相应投资市场波动的预判设定的投资目标。本理财产品投资于固定收益类资产的比例不低于80%,投资于非标准化债权类资产的比例不高于50%。结合债券市场和拟投资的非标准化债权类资产的收益和波动水平预判，在本理财产品约定的投资策略基础上，管理人设定了本理财产品投资周期内的业绩比较基准。</w:t>
            </w:r>
          </w:p>
          <w:p w14:paraId="19698460">
            <w:pPr>
              <w:spacing w:line="240" w:lineRule="auto"/>
              <w:rPr>
                <w:sz w:val="28"/>
                <w:szCs w:val="28"/>
              </w:rPr>
            </w:pPr>
            <w:r>
              <w:rPr>
                <w:rFonts w:ascii="方正黑体_GBK" w:hAnsi="方正黑体_GBK" w:eastAsia="方正黑体_GBK" w:cs="宋体"/>
                <w:b/>
                <w:sz w:val="22"/>
                <w:szCs w:val="22"/>
              </w:rPr>
              <w:t>本理财产品为净值型理财产品，业绩比较基准不是预期收益率，不代表产品的未来表现和实际收益，不构成对产品收益的承诺。</w:t>
            </w:r>
          </w:p>
        </w:tc>
      </w:tr>
      <w:tr w14:paraId="29015C38">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7CAF1E2">
            <w:pPr>
              <w:keepNext w:val="0"/>
              <w:keepLines w:val="0"/>
              <w:pageBreakBefore w:val="0"/>
              <w:widowControl/>
              <w:suppressLineNumbers w:val="0"/>
              <w:suppressAutoHyphens w:val="0"/>
              <w:spacing w:line="240" w:lineRule="auto"/>
              <w:jc w:val="left"/>
              <w:rPr>
                <w:rFonts w:ascii="方正黑体_GBK" w:hAnsi="方正黑体_GBK" w:eastAsia="方正黑体_GBK" w:cs="Times New Roman"/>
                <w:bCs/>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产品</w:t>
            </w:r>
            <w:r>
              <w:rPr>
                <w:rFonts w:hint="eastAsia" w:ascii="方正黑体_GBK" w:hAnsi="方正黑体_GBK" w:eastAsia="方正黑体_GBK"/>
                <w:caps w:val="0"/>
                <w:smallCaps w:val="0"/>
                <w:snapToGrid/>
                <w:vanish w:val="0"/>
                <w:color w:val="auto"/>
                <w:kern w:val="0"/>
                <w:sz w:val="22"/>
                <w:szCs w:val="22"/>
                <w:vertAlign w:val="baseline"/>
              </w:rPr>
              <w:t>费用</w:t>
            </w:r>
          </w:p>
        </w:tc>
        <w:tc>
          <w:tcPr>
            <w:tcW w:w="5543" w:type="dxa"/>
            <w:tcBorders>
              <w:top w:val="single" w:color="auto" w:sz="4" w:space="0"/>
              <w:left w:val="nil"/>
              <w:bottom w:val="single" w:color="auto" w:sz="4" w:space="0"/>
              <w:right w:val="single" w:color="auto" w:sz="4" w:space="0"/>
              <w:tl2br w:val="nil"/>
              <w:tr2bl w:val="nil"/>
            </w:tcBorders>
            <w:vAlign w:val="center"/>
          </w:tcPr>
          <w:p w14:paraId="5536C51F">
            <w:pPr>
              <w:spacing w:line="240" w:lineRule="auto"/>
              <w:rPr>
                <w:sz w:val="28"/>
                <w:szCs w:val="28"/>
              </w:rPr>
            </w:pPr>
            <w:r>
              <w:rPr>
                <w:rFonts w:ascii="方正黑体_GBK" w:hAnsi="方正黑体_GBK" w:eastAsia="方正黑体_GBK" w:cs="宋体"/>
                <w:b/>
                <w:sz w:val="22"/>
                <w:szCs w:val="22"/>
              </w:rPr>
              <w:t>认/申购费：本理财产品暂不收取认/申购费。</w:t>
            </w:r>
          </w:p>
          <w:p w14:paraId="798F3C51">
            <w:pPr>
              <w:spacing w:line="240" w:lineRule="auto"/>
              <w:rPr>
                <w:sz w:val="28"/>
                <w:szCs w:val="28"/>
              </w:rPr>
            </w:pPr>
            <w:r>
              <w:rPr>
                <w:rFonts w:ascii="方正黑体_GBK" w:hAnsi="方正黑体_GBK" w:eastAsia="方正黑体_GBK" w:cs="宋体"/>
                <w:b/>
                <w:sz w:val="22"/>
                <w:szCs w:val="22"/>
              </w:rPr>
              <w:t>赎回费：本理财产品暂不收取赎回费。</w:t>
            </w:r>
          </w:p>
          <w:p w14:paraId="1C095968">
            <w:pPr>
              <w:spacing w:line="240" w:lineRule="auto"/>
              <w:rPr>
                <w:sz w:val="28"/>
                <w:szCs w:val="28"/>
              </w:rPr>
            </w:pPr>
            <w:r>
              <w:rPr>
                <w:rFonts w:ascii="方正黑体_GBK" w:hAnsi="方正黑体_GBK" w:eastAsia="方正黑体_GBK" w:cs="宋体"/>
                <w:b/>
                <w:sz w:val="22"/>
                <w:szCs w:val="22"/>
              </w:rPr>
              <w:t>销售费：</w:t>
            </w:r>
          </w:p>
          <w:p w14:paraId="3955212C">
            <w:pPr>
              <w:spacing w:line="240" w:lineRule="auto"/>
              <w:rPr>
                <w:sz w:val="28"/>
                <w:szCs w:val="28"/>
              </w:rPr>
            </w:pPr>
            <w:r>
              <w:rPr>
                <w:rFonts w:ascii="方正黑体_GBK" w:hAnsi="方正黑体_GBK" w:eastAsia="方正黑体_GBK" w:cs="宋体"/>
                <w:b/>
                <w:sz w:val="22"/>
                <w:szCs w:val="22"/>
              </w:rPr>
              <w:t>A份额：</w:t>
            </w:r>
          </w:p>
          <w:p w14:paraId="120FEC4E">
            <w:pPr>
              <w:spacing w:line="240" w:lineRule="auto"/>
              <w:rPr>
                <w:sz w:val="28"/>
                <w:szCs w:val="28"/>
              </w:rPr>
            </w:pPr>
            <w:r>
              <w:rPr>
                <w:rFonts w:ascii="方正黑体_GBK" w:hAnsi="方正黑体_GBK" w:eastAsia="方正黑体_GBK" w:cs="宋体"/>
                <w:b/>
                <w:sz w:val="22"/>
                <w:szCs w:val="22"/>
              </w:rPr>
              <w:t>本理财产品按前一日理财产品资产净值收取年化0.2%的销售费，按日计提。</w:t>
            </w:r>
          </w:p>
          <w:p w14:paraId="71D7C857">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1C3F29F4">
            <w:pPr>
              <w:spacing w:line="240" w:lineRule="auto"/>
              <w:rPr>
                <w:sz w:val="28"/>
                <w:szCs w:val="28"/>
              </w:rPr>
            </w:pPr>
            <w:r>
              <w:rPr>
                <w:rFonts w:ascii="方正黑体_GBK" w:hAnsi="方正黑体_GBK" w:eastAsia="方正黑体_GBK" w:cs="宋体"/>
                <w:b/>
                <w:sz w:val="22"/>
                <w:szCs w:val="22"/>
              </w:rPr>
              <w:t>B份额，B2份额：</w:t>
            </w:r>
          </w:p>
          <w:p w14:paraId="6160D563">
            <w:pPr>
              <w:spacing w:line="240" w:lineRule="auto"/>
              <w:rPr>
                <w:sz w:val="28"/>
                <w:szCs w:val="28"/>
              </w:rPr>
            </w:pPr>
            <w:r>
              <w:rPr>
                <w:rFonts w:ascii="方正黑体_GBK" w:hAnsi="方正黑体_GBK" w:eastAsia="方正黑体_GBK" w:cs="宋体"/>
                <w:b/>
                <w:sz w:val="22"/>
                <w:szCs w:val="22"/>
              </w:rPr>
              <w:t>本理财产品按前一日理财产品资产净值收取年化0.15%的销售费，按日计提。</w:t>
            </w:r>
          </w:p>
          <w:p w14:paraId="46BE4DDF">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2CE4442E">
            <w:pPr>
              <w:spacing w:line="240" w:lineRule="auto"/>
              <w:rPr>
                <w:sz w:val="28"/>
                <w:szCs w:val="28"/>
              </w:rPr>
            </w:pPr>
            <w:r>
              <w:rPr>
                <w:rFonts w:ascii="方正黑体_GBK" w:hAnsi="方正黑体_GBK" w:eastAsia="方正黑体_GBK" w:cs="宋体"/>
                <w:b/>
                <w:sz w:val="22"/>
                <w:szCs w:val="22"/>
              </w:rPr>
              <w:t>C份额，K份额，L份额：</w:t>
            </w:r>
          </w:p>
          <w:p w14:paraId="4620C15C">
            <w:pPr>
              <w:spacing w:line="240" w:lineRule="auto"/>
              <w:rPr>
                <w:sz w:val="28"/>
                <w:szCs w:val="28"/>
              </w:rPr>
            </w:pPr>
            <w:r>
              <w:rPr>
                <w:rFonts w:ascii="方正黑体_GBK" w:hAnsi="方正黑体_GBK" w:eastAsia="方正黑体_GBK" w:cs="宋体"/>
                <w:b/>
                <w:sz w:val="22"/>
                <w:szCs w:val="22"/>
              </w:rPr>
              <w:t>本理财产品按前一日理财产品资产净值收取年化0.05%的销售费，按日计提。</w:t>
            </w:r>
          </w:p>
          <w:p w14:paraId="63910A86">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3FB75941">
            <w:pPr>
              <w:spacing w:line="240" w:lineRule="auto"/>
              <w:rPr>
                <w:sz w:val="28"/>
                <w:szCs w:val="28"/>
              </w:rPr>
            </w:pPr>
            <w:r>
              <w:rPr>
                <w:rFonts w:ascii="方正黑体_GBK" w:hAnsi="方正黑体_GBK" w:eastAsia="方正黑体_GBK" w:cs="宋体"/>
                <w:b/>
                <w:sz w:val="22"/>
                <w:szCs w:val="22"/>
              </w:rPr>
              <w:t>E份额：</w:t>
            </w:r>
          </w:p>
          <w:p w14:paraId="0EB047F6">
            <w:pPr>
              <w:spacing w:line="240" w:lineRule="auto"/>
              <w:rPr>
                <w:sz w:val="28"/>
                <w:szCs w:val="28"/>
              </w:rPr>
            </w:pPr>
            <w:r>
              <w:rPr>
                <w:rFonts w:ascii="方正黑体_GBK" w:hAnsi="方正黑体_GBK" w:eastAsia="方正黑体_GBK" w:cs="宋体"/>
                <w:b/>
                <w:sz w:val="22"/>
                <w:szCs w:val="22"/>
              </w:rPr>
              <w:t>本理财产品按前一日理财产品资产净值收取年化0.1%的销售费，按日计提。</w:t>
            </w:r>
          </w:p>
          <w:p w14:paraId="43C0C2D8">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468AA78D">
            <w:pPr>
              <w:spacing w:line="240" w:lineRule="auto"/>
              <w:rPr>
                <w:sz w:val="28"/>
                <w:szCs w:val="28"/>
              </w:rPr>
            </w:pPr>
            <w:r>
              <w:rPr>
                <w:rFonts w:ascii="方正黑体_GBK" w:hAnsi="方正黑体_GBK" w:eastAsia="方正黑体_GBK" w:cs="宋体"/>
                <w:b/>
                <w:sz w:val="22"/>
                <w:szCs w:val="22"/>
              </w:rPr>
              <w:t>N份额：</w:t>
            </w:r>
          </w:p>
          <w:p w14:paraId="2A3DD5A6">
            <w:pPr>
              <w:spacing w:line="240" w:lineRule="auto"/>
              <w:rPr>
                <w:sz w:val="28"/>
                <w:szCs w:val="28"/>
              </w:rPr>
            </w:pPr>
            <w:r>
              <w:rPr>
                <w:rFonts w:ascii="方正黑体_GBK" w:hAnsi="方正黑体_GBK" w:eastAsia="方正黑体_GBK" w:cs="宋体"/>
                <w:b/>
                <w:sz w:val="22"/>
                <w:szCs w:val="22"/>
              </w:rPr>
              <w:t>本理财产品一次性收取年化0.3%的销售费，按日摊销。</w:t>
            </w:r>
          </w:p>
          <w:p w14:paraId="4038BFC7">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6D3C3189">
            <w:pPr>
              <w:spacing w:line="240" w:lineRule="auto"/>
              <w:rPr>
                <w:sz w:val="28"/>
                <w:szCs w:val="28"/>
              </w:rPr>
            </w:pPr>
            <w:r>
              <w:rPr>
                <w:rFonts w:ascii="方正黑体_GBK" w:hAnsi="方正黑体_GBK" w:eastAsia="方正黑体_GBK" w:cs="宋体"/>
                <w:b/>
                <w:sz w:val="22"/>
                <w:szCs w:val="22"/>
              </w:rPr>
              <w:t>O份额：</w:t>
            </w:r>
          </w:p>
          <w:p w14:paraId="199E2F91">
            <w:pPr>
              <w:spacing w:line="240" w:lineRule="auto"/>
              <w:rPr>
                <w:sz w:val="28"/>
                <w:szCs w:val="28"/>
              </w:rPr>
            </w:pPr>
            <w:r>
              <w:rPr>
                <w:rFonts w:ascii="方正黑体_GBK" w:hAnsi="方正黑体_GBK" w:eastAsia="方正黑体_GBK" w:cs="宋体"/>
                <w:b/>
                <w:sz w:val="22"/>
                <w:szCs w:val="22"/>
              </w:rPr>
              <w:t>本理财产品一次性收取年化0.1%的销售费，按日摊销。</w:t>
            </w:r>
          </w:p>
          <w:p w14:paraId="2638B2C5">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1AA6A1EF">
            <w:pPr>
              <w:spacing w:line="240" w:lineRule="auto"/>
              <w:rPr>
                <w:sz w:val="28"/>
                <w:szCs w:val="28"/>
              </w:rPr>
            </w:pPr>
            <w:r>
              <w:rPr>
                <w:rFonts w:ascii="方正黑体_GBK" w:hAnsi="方正黑体_GBK" w:eastAsia="方正黑体_GBK" w:cs="宋体"/>
                <w:b/>
                <w:sz w:val="22"/>
                <w:szCs w:val="22"/>
              </w:rPr>
              <w:t>固定管理费：本理财产品按前一日理财产品资产净值收取固定管理费，按日计提。</w:t>
            </w:r>
          </w:p>
          <w:p w14:paraId="7203C424">
            <w:pPr>
              <w:spacing w:line="240" w:lineRule="auto"/>
              <w:rPr>
                <w:sz w:val="28"/>
                <w:szCs w:val="28"/>
              </w:rPr>
            </w:pPr>
            <w:r>
              <w:rPr>
                <w:rFonts w:ascii="方正黑体_GBK" w:hAnsi="方正黑体_GBK" w:eastAsia="方正黑体_GBK" w:cs="宋体"/>
                <w:b/>
                <w:sz w:val="22"/>
                <w:szCs w:val="22"/>
              </w:rPr>
              <w:t>A份额：固定管理费年化0.15%</w:t>
            </w:r>
          </w:p>
          <w:p w14:paraId="0B51E848">
            <w:pPr>
              <w:spacing w:line="240" w:lineRule="auto"/>
              <w:rPr>
                <w:sz w:val="28"/>
                <w:szCs w:val="28"/>
              </w:rPr>
            </w:pPr>
            <w:r>
              <w:rPr>
                <w:rFonts w:ascii="方正黑体_GBK" w:hAnsi="方正黑体_GBK" w:eastAsia="方正黑体_GBK" w:cs="宋体"/>
                <w:b/>
                <w:sz w:val="22"/>
                <w:szCs w:val="22"/>
              </w:rPr>
              <w:t>B份额：固定管理费年化0.1%</w:t>
            </w:r>
          </w:p>
          <w:p w14:paraId="3CC793E3">
            <w:pPr>
              <w:spacing w:line="240" w:lineRule="auto"/>
              <w:rPr>
                <w:sz w:val="28"/>
                <w:szCs w:val="28"/>
              </w:rPr>
            </w:pPr>
            <w:r>
              <w:rPr>
                <w:rFonts w:ascii="方正黑体_GBK" w:hAnsi="方正黑体_GBK" w:eastAsia="方正黑体_GBK" w:cs="宋体"/>
                <w:b/>
                <w:sz w:val="22"/>
                <w:szCs w:val="22"/>
              </w:rPr>
              <w:t>C份额：固定管理费年化0.1%</w:t>
            </w:r>
          </w:p>
          <w:p w14:paraId="7974DB90">
            <w:pPr>
              <w:spacing w:line="240" w:lineRule="auto"/>
              <w:rPr>
                <w:sz w:val="28"/>
                <w:szCs w:val="28"/>
              </w:rPr>
            </w:pPr>
            <w:r>
              <w:rPr>
                <w:rFonts w:ascii="方正黑体_GBK" w:hAnsi="方正黑体_GBK" w:eastAsia="方正黑体_GBK" w:cs="宋体"/>
                <w:b/>
                <w:sz w:val="22"/>
                <w:szCs w:val="22"/>
              </w:rPr>
              <w:t>E份额：固定管理费年化0.1%</w:t>
            </w:r>
          </w:p>
          <w:p w14:paraId="1DB2E8A3">
            <w:pPr>
              <w:spacing w:line="240" w:lineRule="auto"/>
              <w:rPr>
                <w:sz w:val="28"/>
                <w:szCs w:val="28"/>
              </w:rPr>
            </w:pPr>
            <w:r>
              <w:rPr>
                <w:rFonts w:ascii="方正黑体_GBK" w:hAnsi="方正黑体_GBK" w:eastAsia="方正黑体_GBK" w:cs="宋体"/>
                <w:b/>
                <w:sz w:val="22"/>
                <w:szCs w:val="22"/>
              </w:rPr>
              <w:t>K份额：固定管理费年化0.05%</w:t>
            </w:r>
          </w:p>
          <w:p w14:paraId="44FAF8FF">
            <w:pPr>
              <w:spacing w:line="240" w:lineRule="auto"/>
              <w:rPr>
                <w:sz w:val="28"/>
                <w:szCs w:val="28"/>
              </w:rPr>
            </w:pPr>
            <w:r>
              <w:rPr>
                <w:rFonts w:ascii="方正黑体_GBK" w:hAnsi="方正黑体_GBK" w:eastAsia="方正黑体_GBK" w:cs="宋体"/>
                <w:b/>
                <w:sz w:val="22"/>
                <w:szCs w:val="22"/>
              </w:rPr>
              <w:t>L份额：固定管理费年化0.05%</w:t>
            </w:r>
          </w:p>
          <w:p w14:paraId="124009C0">
            <w:pPr>
              <w:spacing w:line="240" w:lineRule="auto"/>
              <w:rPr>
                <w:sz w:val="28"/>
                <w:szCs w:val="28"/>
              </w:rPr>
            </w:pPr>
            <w:r>
              <w:rPr>
                <w:rFonts w:ascii="方正黑体_GBK" w:hAnsi="方正黑体_GBK" w:eastAsia="方正黑体_GBK" w:cs="宋体"/>
                <w:b/>
                <w:sz w:val="22"/>
                <w:szCs w:val="22"/>
              </w:rPr>
              <w:t>N份额：固定管理费年化0.05%</w:t>
            </w:r>
          </w:p>
          <w:p w14:paraId="231E6721">
            <w:pPr>
              <w:spacing w:line="240" w:lineRule="auto"/>
              <w:rPr>
                <w:sz w:val="28"/>
                <w:szCs w:val="28"/>
              </w:rPr>
            </w:pPr>
            <w:r>
              <w:rPr>
                <w:rFonts w:ascii="方正黑体_GBK" w:hAnsi="方正黑体_GBK" w:eastAsia="方正黑体_GBK" w:cs="宋体"/>
                <w:b/>
                <w:sz w:val="22"/>
                <w:szCs w:val="22"/>
              </w:rPr>
              <w:t>O份额：固定管理费年化0.05%</w:t>
            </w:r>
          </w:p>
          <w:p w14:paraId="69F8A0FB">
            <w:pPr>
              <w:spacing w:line="240" w:lineRule="auto"/>
              <w:rPr>
                <w:sz w:val="28"/>
                <w:szCs w:val="28"/>
              </w:rPr>
            </w:pPr>
            <w:r>
              <w:rPr>
                <w:rFonts w:ascii="方正黑体_GBK" w:hAnsi="方正黑体_GBK" w:eastAsia="方正黑体_GBK" w:cs="宋体"/>
                <w:b/>
                <w:sz w:val="22"/>
                <w:szCs w:val="22"/>
              </w:rPr>
              <w:t>B2份额：固定管理费年化0.05%</w:t>
            </w:r>
          </w:p>
          <w:p w14:paraId="0F4C6351">
            <w:pPr>
              <w:spacing w:line="240" w:lineRule="auto"/>
              <w:rPr>
                <w:sz w:val="28"/>
                <w:szCs w:val="28"/>
              </w:rPr>
            </w:pPr>
            <w:r>
              <w:rPr>
                <w:rFonts w:ascii="方正黑体_GBK" w:hAnsi="方正黑体_GBK" w:eastAsia="方正黑体_GBK" w:cs="宋体"/>
                <w:b/>
                <w:sz w:val="22"/>
                <w:szCs w:val="22"/>
              </w:rPr>
              <w:t>每日计提的固定管理费=前一日理财产品资产净值×年化固定管理费率÷365</w:t>
            </w:r>
          </w:p>
          <w:p w14:paraId="6788B12F">
            <w:pPr>
              <w:spacing w:line="240" w:lineRule="auto"/>
              <w:rPr>
                <w:sz w:val="28"/>
                <w:szCs w:val="28"/>
              </w:rPr>
            </w:pPr>
            <w:r>
              <w:rPr>
                <w:rFonts w:ascii="方正黑体_GBK" w:hAnsi="方正黑体_GBK" w:eastAsia="方正黑体_GBK" w:cs="宋体"/>
                <w:b/>
                <w:sz w:val="22"/>
                <w:szCs w:val="22"/>
              </w:rPr>
              <w:t>托管费：</w:t>
            </w:r>
          </w:p>
          <w:p w14:paraId="44361AD6">
            <w:pPr>
              <w:spacing w:line="240" w:lineRule="auto"/>
              <w:rPr>
                <w:sz w:val="28"/>
                <w:szCs w:val="28"/>
              </w:rPr>
            </w:pPr>
            <w:r>
              <w:rPr>
                <w:rFonts w:ascii="方正黑体_GBK" w:hAnsi="方正黑体_GBK" w:eastAsia="方正黑体_GBK" w:cs="宋体"/>
                <w:b/>
                <w:sz w:val="22"/>
                <w:szCs w:val="22"/>
              </w:rPr>
              <w:t>本理财产品按前一日理财产品资产净值收取年化0.02%的托管费，按日计提。</w:t>
            </w:r>
          </w:p>
          <w:p w14:paraId="5CA4652F">
            <w:pPr>
              <w:spacing w:line="240" w:lineRule="auto"/>
              <w:rPr>
                <w:sz w:val="28"/>
                <w:szCs w:val="28"/>
              </w:rPr>
            </w:pPr>
            <w:r>
              <w:rPr>
                <w:rFonts w:ascii="方正黑体_GBK" w:hAnsi="方正黑体_GBK" w:eastAsia="方正黑体_GBK" w:cs="宋体"/>
                <w:b/>
                <w:sz w:val="22"/>
                <w:szCs w:val="22"/>
              </w:rPr>
              <w:t>每日计提的托管费=前一日理财产品资产净值×年化托管费率÷365</w:t>
            </w:r>
          </w:p>
          <w:p w14:paraId="59F784C2">
            <w:pPr>
              <w:spacing w:line="240" w:lineRule="auto"/>
              <w:rPr>
                <w:sz w:val="28"/>
                <w:szCs w:val="28"/>
              </w:rPr>
            </w:pPr>
            <w:r>
              <w:rPr>
                <w:rFonts w:ascii="方正黑体_GBK" w:hAnsi="方正黑体_GBK" w:eastAsia="方正黑体_GBK" w:cs="宋体"/>
                <w:b/>
                <w:sz w:val="22"/>
                <w:szCs w:val="22"/>
              </w:rPr>
              <w:t>信息技术服务费：</w:t>
            </w:r>
          </w:p>
          <w:p w14:paraId="28081CB4">
            <w:pPr>
              <w:spacing w:line="240" w:lineRule="auto"/>
              <w:rPr>
                <w:sz w:val="28"/>
                <w:szCs w:val="28"/>
              </w:rPr>
            </w:pPr>
            <w:r>
              <w:rPr>
                <w:rFonts w:ascii="方正黑体_GBK" w:hAnsi="方正黑体_GBK" w:eastAsia="方正黑体_GBK" w:cs="宋体"/>
                <w:b/>
                <w:sz w:val="22"/>
                <w:szCs w:val="22"/>
              </w:rPr>
              <w:t>本理财产品按前一日理财产品资产净值收取年化0.002%的信息技术服务费，按日计提。</w:t>
            </w:r>
          </w:p>
          <w:p w14:paraId="0681E283">
            <w:pPr>
              <w:spacing w:line="240" w:lineRule="auto"/>
              <w:rPr>
                <w:sz w:val="28"/>
                <w:szCs w:val="28"/>
              </w:rPr>
            </w:pPr>
            <w:r>
              <w:rPr>
                <w:rFonts w:ascii="方正黑体_GBK" w:hAnsi="方正黑体_GBK" w:eastAsia="方正黑体_GBK" w:cs="宋体"/>
                <w:b/>
                <w:sz w:val="22"/>
                <w:szCs w:val="22"/>
              </w:rPr>
              <w:t>每日计提的信息技术服务费=前一日理财产品资产净值×年化信息技术服务费率÷365</w:t>
            </w:r>
          </w:p>
          <w:p w14:paraId="11F9B60B">
            <w:pPr>
              <w:spacing w:line="240" w:lineRule="auto"/>
              <w:rPr>
                <w:sz w:val="28"/>
                <w:szCs w:val="28"/>
              </w:rPr>
            </w:pPr>
            <w:r>
              <w:rPr>
                <w:rFonts w:ascii="方正黑体_GBK" w:hAnsi="方正黑体_GBK" w:eastAsia="方正黑体_GBK" w:cs="宋体"/>
                <w:b/>
                <w:sz w:val="22"/>
                <w:szCs w:val="22"/>
              </w:rPr>
              <w:t>业绩报酬：</w:t>
            </w:r>
          </w:p>
          <w:p w14:paraId="103A284A">
            <w:pPr>
              <w:spacing w:line="240" w:lineRule="auto"/>
              <w:rPr>
                <w:sz w:val="28"/>
                <w:szCs w:val="28"/>
              </w:rPr>
            </w:pPr>
            <w:r>
              <w:rPr>
                <w:rFonts w:ascii="方正黑体_GBK" w:hAnsi="方正黑体_GBK" w:eastAsia="方正黑体_GBK" w:cs="宋体"/>
                <w:b/>
                <w:sz w:val="22"/>
                <w:szCs w:val="22"/>
              </w:rPr>
              <w:t>A份额：到期兑付时，当期产品投资的实际资产组合收益（扣除销售费、固定管理费、托管费等相关费用）超过1.68%（年化，即产品该份额对应的业绩报酬计提基准）时，超过部分管理人将按60%收取业绩报酬。</w:t>
            </w:r>
          </w:p>
          <w:p w14:paraId="56C087DD">
            <w:pPr>
              <w:spacing w:line="240" w:lineRule="auto"/>
              <w:rPr>
                <w:sz w:val="28"/>
                <w:szCs w:val="28"/>
              </w:rPr>
            </w:pPr>
            <w:r>
              <w:rPr>
                <w:rFonts w:ascii="方正黑体_GBK" w:hAnsi="方正黑体_GBK" w:eastAsia="方正黑体_GBK" w:cs="宋体"/>
                <w:b/>
                <w:sz w:val="22"/>
                <w:szCs w:val="22"/>
              </w:rPr>
              <w:t>B份额：到期兑付时，当期产品投资的实际资产组合收益（扣除销售费、固定管理费、托管费等相关费用）超过1.78%（年化，即产品该份额对应的业绩报酬计提基准）时，超过部分管理人将按60%收取业绩报酬。</w:t>
            </w:r>
          </w:p>
          <w:p w14:paraId="4686BEB6">
            <w:pPr>
              <w:spacing w:line="240" w:lineRule="auto"/>
              <w:rPr>
                <w:sz w:val="28"/>
                <w:szCs w:val="28"/>
              </w:rPr>
            </w:pPr>
            <w:r>
              <w:rPr>
                <w:rFonts w:ascii="方正黑体_GBK" w:hAnsi="方正黑体_GBK" w:eastAsia="方正黑体_GBK" w:cs="宋体"/>
                <w:b/>
                <w:sz w:val="22"/>
                <w:szCs w:val="22"/>
              </w:rPr>
              <w:t>C份额：到期兑付时，当期产品投资的实际资产组合收益（扣除销售费、固定管理费、托管费等相关费用）超过1.88%（年化，即产品该份额对应的业绩报酬计提基准）时，超过部分管理人将按60%收取业绩报酬。</w:t>
            </w:r>
          </w:p>
          <w:p w14:paraId="72C6D6D0">
            <w:pPr>
              <w:spacing w:line="240" w:lineRule="auto"/>
              <w:rPr>
                <w:sz w:val="28"/>
                <w:szCs w:val="28"/>
              </w:rPr>
            </w:pPr>
            <w:r>
              <w:rPr>
                <w:rFonts w:ascii="方正黑体_GBK" w:hAnsi="方正黑体_GBK" w:eastAsia="方正黑体_GBK" w:cs="宋体"/>
                <w:b/>
                <w:sz w:val="22"/>
                <w:szCs w:val="22"/>
              </w:rPr>
              <w:t>E份额：到期兑付时，当期产品投资的实际资产组合收益（扣除销售费、固定管理费、托管费等相关费用）超过1.83%（年化，即产品该份额对应的业绩报酬计提基准）时，超过部分管理人将按60%收取业绩报酬。</w:t>
            </w:r>
          </w:p>
          <w:p w14:paraId="0AEDE42B">
            <w:pPr>
              <w:spacing w:line="240" w:lineRule="auto"/>
              <w:rPr>
                <w:sz w:val="28"/>
                <w:szCs w:val="28"/>
              </w:rPr>
            </w:pPr>
            <w:r>
              <w:rPr>
                <w:rFonts w:ascii="方正黑体_GBK" w:hAnsi="方正黑体_GBK" w:eastAsia="方正黑体_GBK" w:cs="宋体"/>
                <w:b/>
                <w:sz w:val="22"/>
                <w:szCs w:val="22"/>
              </w:rPr>
              <w:t>K份额：到期兑付时，当期产品投资的实际资产组合收益（扣除销售费、固定管理费、托管费等相关费用）超过1.93%（年化，即产品该份额对应的业绩报酬计提基准）时，超过部分管理人将按60%收取业绩报酬。</w:t>
            </w:r>
          </w:p>
          <w:p w14:paraId="25EC4A52">
            <w:pPr>
              <w:spacing w:line="240" w:lineRule="auto"/>
              <w:rPr>
                <w:sz w:val="28"/>
                <w:szCs w:val="28"/>
              </w:rPr>
            </w:pPr>
            <w:r>
              <w:rPr>
                <w:rFonts w:ascii="方正黑体_GBK" w:hAnsi="方正黑体_GBK" w:eastAsia="方正黑体_GBK" w:cs="宋体"/>
                <w:b/>
                <w:sz w:val="22"/>
                <w:szCs w:val="22"/>
              </w:rPr>
              <w:t>L份额：到期兑付时，当期产品投资的实际资产组合收益（扣除销售费、固定管理费、托管费等相关费用）超过1.93%（年化，即产品该份额对应的业绩报酬计提基准）时，超过部分管理人将按60%收取业绩报酬。</w:t>
            </w:r>
          </w:p>
          <w:p w14:paraId="512E79F3">
            <w:pPr>
              <w:spacing w:line="240" w:lineRule="auto"/>
              <w:rPr>
                <w:sz w:val="28"/>
                <w:szCs w:val="28"/>
              </w:rPr>
            </w:pPr>
            <w:r>
              <w:rPr>
                <w:rFonts w:ascii="方正黑体_GBK" w:hAnsi="方正黑体_GBK" w:eastAsia="方正黑体_GBK" w:cs="宋体"/>
                <w:b/>
                <w:sz w:val="22"/>
                <w:szCs w:val="22"/>
              </w:rPr>
              <w:t>N份额：到期兑付时，当期产品投资的实际资产组合收益（扣除销售费、固定管理费、托管费等相关费用）超过1.68%（年化，即产品该份额对应的业绩报酬计提基准）时，超过部分管理人将按60%收取业绩报酬。</w:t>
            </w:r>
          </w:p>
          <w:p w14:paraId="42CDAAAB">
            <w:pPr>
              <w:spacing w:line="240" w:lineRule="auto"/>
              <w:rPr>
                <w:sz w:val="28"/>
                <w:szCs w:val="28"/>
              </w:rPr>
            </w:pPr>
            <w:r>
              <w:rPr>
                <w:rFonts w:ascii="方正黑体_GBK" w:hAnsi="方正黑体_GBK" w:eastAsia="方正黑体_GBK" w:cs="宋体"/>
                <w:b/>
                <w:sz w:val="22"/>
                <w:szCs w:val="22"/>
              </w:rPr>
              <w:t>O份额：到期兑付时，当期产品投资的实际资产组合收益（扣除销售费、固定管理费、托管费等相关费用）超过1.88%（年化，即产品该份额对应的业绩报酬计提基准）时，超过部分管理人将按60%收取业绩报酬。</w:t>
            </w:r>
          </w:p>
          <w:p w14:paraId="1440B6C7">
            <w:pPr>
              <w:spacing w:line="240" w:lineRule="auto"/>
              <w:rPr>
                <w:sz w:val="28"/>
                <w:szCs w:val="28"/>
              </w:rPr>
            </w:pPr>
            <w:r>
              <w:rPr>
                <w:rFonts w:ascii="方正黑体_GBK" w:hAnsi="方正黑体_GBK" w:eastAsia="方正黑体_GBK" w:cs="宋体"/>
                <w:b/>
                <w:sz w:val="22"/>
                <w:szCs w:val="22"/>
              </w:rPr>
              <w:t>B2份额：到期兑付时，当期产品投资的实际资产组合收益（扣除销售费、固定管理费、托管费等相关费用）超过1.83%（年化，即产品该份额对应的业绩报酬计提基准）时，超过部分管理人将按60%收取业绩报酬。</w:t>
            </w:r>
          </w:p>
          <w:p w14:paraId="10459C0B">
            <w:pPr>
              <w:spacing w:line="240" w:lineRule="auto"/>
              <w:rPr>
                <w:sz w:val="28"/>
                <w:szCs w:val="28"/>
              </w:rPr>
            </w:pPr>
            <w:r>
              <w:rPr>
                <w:rFonts w:ascii="方正黑体_GBK" w:hAnsi="方正黑体_GBK" w:eastAsia="方正黑体_GBK" w:cs="宋体"/>
                <w:b/>
                <w:sz w:val="22"/>
                <w:szCs w:val="22"/>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14:paraId="02E33BD9">
            <w:pPr>
              <w:spacing w:line="240" w:lineRule="auto"/>
              <w:rPr>
                <w:sz w:val="28"/>
                <w:szCs w:val="28"/>
              </w:rPr>
            </w:pPr>
            <w:r>
              <w:rPr>
                <w:rFonts w:ascii="方正黑体_GBK" w:hAnsi="方正黑体_GBK" w:eastAsia="方正黑体_GBK" w:cs="宋体"/>
                <w:b/>
                <w:sz w:val="22"/>
                <w:szCs w:val="22"/>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14:paraId="63BEB8A7">
            <w:pPr>
              <w:spacing w:line="240" w:lineRule="auto"/>
              <w:rPr>
                <w:sz w:val="28"/>
                <w:szCs w:val="28"/>
              </w:rPr>
            </w:pPr>
            <w:r>
              <w:rPr>
                <w:rFonts w:ascii="方正黑体_GBK" w:hAnsi="方正黑体_GBK" w:eastAsia="方正黑体_GBK" w:cs="宋体"/>
                <w:b/>
                <w:sz w:val="22"/>
                <w:szCs w:val="22"/>
              </w:rPr>
              <w:t>注：1.根据财政部《资产管理产品相关会计处理规定》（财会〔2022〕14号）“将当期发生的管理人报酬计入当期损益”的相关规定，本理财产品将每日计提暂估的业绩报酬（如有）。</w:t>
            </w:r>
          </w:p>
          <w:p w14:paraId="44E9D945">
            <w:pPr>
              <w:spacing w:line="240" w:lineRule="auto"/>
              <w:rPr>
                <w:sz w:val="28"/>
                <w:szCs w:val="28"/>
              </w:rPr>
            </w:pPr>
            <w:r>
              <w:rPr>
                <w:rFonts w:ascii="方正黑体_GBK" w:hAnsi="方正黑体_GBK" w:eastAsia="方正黑体_GBK" w:cs="宋体"/>
                <w:b/>
                <w:sz w:val="22"/>
                <w:szCs w:val="22"/>
              </w:rPr>
              <w:t>2.产品存续期的每个估值日，如果产品各份额当期起始日至估值日（即本区间）的年化收益率大于当期业绩报酬计提基准，则相应计提暂估业绩报酬，披露的各份额的单位净值为扣除暂估业绩报酬（如有）之后的水平。</w:t>
            </w:r>
          </w:p>
          <w:p w14:paraId="325FC568">
            <w:pPr>
              <w:spacing w:line="240" w:lineRule="auto"/>
              <w:rPr>
                <w:sz w:val="28"/>
                <w:szCs w:val="28"/>
              </w:rPr>
            </w:pPr>
            <w:r>
              <w:rPr>
                <w:rFonts w:ascii="方正黑体_GBK" w:hAnsi="方正黑体_GBK" w:eastAsia="方正黑体_GBK" w:cs="宋体"/>
                <w:b/>
                <w:sz w:val="22"/>
                <w:szCs w:val="22"/>
              </w:rPr>
              <w:t>计算本区间业绩报酬的公式如下：</w:t>
            </w:r>
          </w:p>
          <w:p w14:paraId="5A54B453">
            <w:pPr>
              <w:spacing w:line="240" w:lineRule="auto"/>
              <w:rPr>
                <w:sz w:val="28"/>
                <w:szCs w:val="28"/>
              </w:rPr>
            </w:pPr>
            <w:r>
              <w:rPr>
                <w:rFonts w:ascii="方正黑体_GBK" w:hAnsi="方正黑体_GBK" w:eastAsia="方正黑体_GBK" w:cs="宋体"/>
                <w:b/>
                <w:sz w:val="22"/>
                <w:szCs w:val="22"/>
              </w:rPr>
              <w:t>A={B-C*D*(1+E*F/365)}*G。</w:t>
            </w:r>
          </w:p>
          <w:p w14:paraId="65F86611">
            <w:pPr>
              <w:spacing w:line="240" w:lineRule="auto"/>
              <w:rPr>
                <w:sz w:val="28"/>
                <w:szCs w:val="28"/>
              </w:rPr>
            </w:pPr>
            <w:r>
              <w:rPr>
                <w:rFonts w:ascii="方正黑体_GBK" w:hAnsi="方正黑体_GBK" w:eastAsia="方正黑体_GBK" w:cs="宋体"/>
                <w:b/>
                <w:sz w:val="22"/>
                <w:szCs w:val="22"/>
              </w:rPr>
              <w:t>其中：A是产品该份额从当期起始日到估值日应计提的业绩报酬金额，B是产品该份额估值日当日未扣除业绩报酬前的资产净值，C是产品该份额当期起始日的产品份额，D是产品该份额当期起始日前一自然日的单位净值，E是产品该份额当期的业绩报酬计提基准，F是产品该份额当期起始日（含）到估值日（含）的天数，G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14:paraId="01493614">
        <w:trPr>
          <w:trHeight w:val="40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BCB9D3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风险事件说明</w:t>
            </w:r>
          </w:p>
        </w:tc>
        <w:tc>
          <w:tcPr>
            <w:tcW w:w="5543" w:type="dxa"/>
            <w:tcBorders>
              <w:top w:val="single" w:color="auto" w:sz="4" w:space="0"/>
              <w:left w:val="nil"/>
              <w:bottom w:val="single" w:color="auto" w:sz="4" w:space="0"/>
              <w:right w:val="single" w:color="auto" w:sz="4" w:space="0"/>
              <w:tl2br w:val="nil"/>
              <w:tr2bl w:val="nil"/>
            </w:tcBorders>
            <w:vAlign w:val="center"/>
          </w:tcPr>
          <w:p w14:paraId="57E08E8D">
            <w:pPr>
              <w:spacing w:line="240" w:lineRule="auto"/>
              <w:rPr>
                <w:sz w:val="28"/>
                <w:szCs w:val="28"/>
              </w:rPr>
            </w:pPr>
            <w:r>
              <w:rPr>
                <w:rFonts w:ascii="方正黑体_GBK" w:hAnsi="方正黑体_GBK" w:eastAsia="方正黑体_GBK" w:cs="宋体"/>
                <w:sz w:val="22"/>
                <w:szCs w:val="22"/>
              </w:rPr>
              <w:t>具体详见本理财产品风险揭示书。</w:t>
            </w:r>
          </w:p>
          <w:p w14:paraId="3B16A453">
            <w:pPr>
              <w:spacing w:line="240" w:lineRule="auto"/>
              <w:rPr>
                <w:sz w:val="28"/>
                <w:szCs w:val="28"/>
              </w:rPr>
            </w:pPr>
            <w:r>
              <w:rPr>
                <w:rFonts w:ascii="方正黑体_GBK" w:hAnsi="方正黑体_GBK" w:eastAsia="方正黑体_GBK" w:cs="宋体"/>
                <w:sz w:val="22"/>
                <w:szCs w:val="22"/>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r>
              <w:rPr>
                <w:rFonts w:ascii="方正黑体_GBK" w:hAnsi="方正黑体_GBK" w:eastAsia="方正黑体_GBK"/>
                <w:sz w:val="28"/>
                <w:szCs w:val="28"/>
              </w:rPr>
              <w:br w:type="textWrapping"/>
            </w:r>
            <w:r>
              <w:rPr>
                <w:rFonts w:ascii="方正黑体_GBK" w:hAnsi="方正黑体_GBK" w:eastAsia="方正黑体_GBK" w:cs="宋体"/>
                <w:sz w:val="22"/>
                <w:szCs w:val="22"/>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tc>
      </w:tr>
      <w:tr w14:paraId="0712D625">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2C9EA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理财产品管理人及管理人职责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5C1829D8">
            <w:pPr>
              <w:spacing w:line="240" w:lineRule="auto"/>
              <w:jc w:val="left"/>
              <w:rPr>
                <w:sz w:val="28"/>
                <w:szCs w:val="28"/>
              </w:rPr>
            </w:pPr>
            <w:r>
              <w:rPr>
                <w:rFonts w:ascii="方正黑体_GBK" w:hAnsi="方正黑体_GBK" w:eastAsia="方正黑体_GBK" w:cs="宋体"/>
                <w:color w:val="000000"/>
                <w:sz w:val="22"/>
                <w:szCs w:val="22"/>
              </w:rPr>
              <w:t>本理财产品管理人为南银理财有限责任公司，南银理财系南京银行股份有限公司全资控股的银行理财子公司。南银理财成立于2020年8月，专业从事理财产品发行、投资管理、理财顾问和咨询服务等业务，注册资本金20 亿元人民币。地址：江苏省南京市建邺区庐山路242号2号楼14-16层，电话：4001195302。</w:t>
            </w:r>
          </w:p>
          <w:p w14:paraId="0EC69DF2">
            <w:pPr>
              <w:spacing w:line="240" w:lineRule="auto"/>
              <w:jc w:val="left"/>
              <w:rPr>
                <w:sz w:val="28"/>
                <w:szCs w:val="28"/>
              </w:rPr>
            </w:pPr>
            <w:r>
              <w:rPr>
                <w:rFonts w:ascii="方正黑体_GBK" w:hAnsi="方正黑体_GBK" w:eastAsia="方正黑体_GBK" w:cs="宋体"/>
                <w:sz w:val="22"/>
                <w:szCs w:val="22"/>
              </w:rPr>
              <w:t>管理人主要职责如下：</w:t>
            </w:r>
          </w:p>
          <w:p w14:paraId="1953B9E0">
            <w:pPr>
              <w:spacing w:line="240" w:lineRule="auto"/>
              <w:jc w:val="left"/>
              <w:rPr>
                <w:sz w:val="28"/>
                <w:szCs w:val="28"/>
              </w:rPr>
            </w:pPr>
            <w:r>
              <w:rPr>
                <w:rFonts w:ascii="方正黑体_GBK" w:hAnsi="方正黑体_GBK" w:eastAsia="方正黑体_GBK" w:cs="宋体"/>
                <w:color w:val="000000"/>
                <w:sz w:val="22"/>
                <w:szCs w:val="22"/>
              </w:rPr>
              <w:t>1.按照法律法规、监管规定及理财产品销售文件的约定，发行并管理理财产品；</w:t>
            </w:r>
          </w:p>
          <w:p w14:paraId="446BB078">
            <w:pPr>
              <w:spacing w:line="240" w:lineRule="auto"/>
              <w:jc w:val="left"/>
              <w:rPr>
                <w:sz w:val="28"/>
                <w:szCs w:val="28"/>
              </w:rPr>
            </w:pPr>
            <w:r>
              <w:rPr>
                <w:rFonts w:ascii="方正黑体_GBK" w:hAnsi="方正黑体_GBK" w:eastAsia="方正黑体_GBK" w:cs="宋体"/>
                <w:color w:val="000000"/>
                <w:sz w:val="22"/>
                <w:szCs w:val="22"/>
              </w:rPr>
              <w:t>2.根据理财产品的投资组合、同类产品过往业绩和风险状况等因素，对理财产品进行评级；</w:t>
            </w:r>
          </w:p>
          <w:p w14:paraId="3315C166">
            <w:pPr>
              <w:spacing w:line="240" w:lineRule="auto"/>
              <w:jc w:val="left"/>
              <w:rPr>
                <w:sz w:val="28"/>
                <w:szCs w:val="28"/>
              </w:rPr>
            </w:pPr>
            <w:r>
              <w:rPr>
                <w:rFonts w:ascii="方正黑体_GBK" w:hAnsi="方正黑体_GBK" w:eastAsia="方正黑体_GBK" w:cs="宋体"/>
                <w:color w:val="000000"/>
                <w:sz w:val="22"/>
                <w:szCs w:val="22"/>
              </w:rPr>
              <w:t>3.按照法律法规、监管规定及与投资者约定的信息披露渠道及时披露理财产品相关信息；</w:t>
            </w:r>
          </w:p>
          <w:p w14:paraId="267118CE">
            <w:pPr>
              <w:spacing w:line="240" w:lineRule="auto"/>
              <w:jc w:val="left"/>
              <w:rPr>
                <w:sz w:val="28"/>
                <w:szCs w:val="28"/>
              </w:rPr>
            </w:pPr>
            <w:r>
              <w:rPr>
                <w:rFonts w:ascii="方正黑体_GBK" w:hAnsi="方正黑体_GBK" w:eastAsia="方正黑体_GBK" w:cs="宋体"/>
                <w:color w:val="000000"/>
                <w:sz w:val="22"/>
                <w:szCs w:val="22"/>
              </w:rPr>
              <w:t>4.按照理财产品销售文件约定的投资范围和权限，负责理财产品资金的运用和管理，向投资者进行收益分配；</w:t>
            </w:r>
          </w:p>
          <w:p w14:paraId="7CE27E5E">
            <w:pPr>
              <w:spacing w:line="240" w:lineRule="auto"/>
              <w:jc w:val="left"/>
              <w:rPr>
                <w:sz w:val="28"/>
                <w:szCs w:val="28"/>
              </w:rPr>
            </w:pPr>
            <w:r>
              <w:rPr>
                <w:rFonts w:ascii="方正黑体_GBK" w:hAnsi="方正黑体_GBK" w:eastAsia="方正黑体_GBK" w:cs="宋体"/>
                <w:color w:val="000000"/>
                <w:sz w:val="22"/>
                <w:szCs w:val="22"/>
              </w:rPr>
              <w:t>5.审慎选择理财产品销售机构，切实履行对销售机构的管理责任；</w:t>
            </w:r>
          </w:p>
          <w:p w14:paraId="3534CF31">
            <w:pPr>
              <w:spacing w:line="240" w:lineRule="auto"/>
              <w:jc w:val="left"/>
              <w:rPr>
                <w:sz w:val="28"/>
                <w:szCs w:val="28"/>
              </w:rPr>
            </w:pPr>
            <w:r>
              <w:rPr>
                <w:rFonts w:ascii="方正黑体_GBK" w:hAnsi="方正黑体_GBK" w:eastAsia="方正黑体_GBK" w:cs="宋体"/>
                <w:color w:val="000000"/>
                <w:sz w:val="22"/>
                <w:szCs w:val="22"/>
              </w:rPr>
              <w:t>6.根据法律法规、监管规定建立健全投资者权益保护管理体系；</w:t>
            </w:r>
          </w:p>
          <w:p w14:paraId="4E29B279">
            <w:pPr>
              <w:spacing w:line="240" w:lineRule="auto"/>
              <w:jc w:val="left"/>
              <w:rPr>
                <w:sz w:val="28"/>
                <w:szCs w:val="28"/>
              </w:rPr>
            </w:pPr>
            <w:r>
              <w:rPr>
                <w:rFonts w:ascii="方正黑体_GBK" w:hAnsi="方正黑体_GBK" w:eastAsia="方正黑体_GBK" w:cs="宋体"/>
                <w:color w:val="000000"/>
                <w:sz w:val="22"/>
                <w:szCs w:val="22"/>
              </w:rPr>
              <w:t>7.国务院银行业监督管理机构规定及本理财产品销售文件中约定的其他职责。</w:t>
            </w:r>
          </w:p>
        </w:tc>
      </w:tr>
      <w:tr w14:paraId="2117A781">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17991D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销售机构及销售机构职责</w:t>
            </w:r>
          </w:p>
        </w:tc>
        <w:tc>
          <w:tcPr>
            <w:tcW w:w="5543" w:type="dxa"/>
            <w:tcBorders>
              <w:top w:val="single" w:color="auto" w:sz="4" w:space="0"/>
              <w:left w:val="nil"/>
              <w:bottom w:val="single" w:color="auto" w:sz="4" w:space="0"/>
              <w:right w:val="single" w:color="auto" w:sz="4" w:space="0"/>
              <w:tl2br w:val="nil"/>
              <w:tr2bl w:val="nil"/>
            </w:tcBorders>
            <w:vAlign w:val="center"/>
          </w:tcPr>
          <w:p w14:paraId="6D5025CC">
            <w:pPr>
              <w:spacing w:line="240" w:lineRule="auto"/>
              <w:jc w:val="left"/>
              <w:rPr>
                <w:sz w:val="28"/>
                <w:szCs w:val="28"/>
              </w:rPr>
            </w:pPr>
            <w:r>
              <w:rPr>
                <w:rFonts w:ascii="方正黑体_GBK" w:hAnsi="方正黑体_GBK" w:eastAsia="方正黑体_GBK" w:cs="宋体"/>
                <w:sz w:val="22"/>
                <w:szCs w:val="22"/>
              </w:rPr>
              <w:t>本理财产品销售机构为南银理财有限责任公司、南京银行股份有限公司、江苏太仓农村商业银行股份有限公司、青岛银行股份有限公司、江苏苏州农村商业银行股份有限公司、福建海峡银行股份有限公司、秦皇岛银行股份有限公司、泰安银行股份有限公司、宁波东海银行股份有限公司、齐鲁银行股份有限公司、贵阳银行股份有限公司、云南红塔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江苏江南农村商业银行股份有限公司、桂林银行股份有限公司、富邦华一银行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民丰农村商业银行股份有限公司、江苏建湖农村商业银行股份有限公司、江苏东台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海南银行股份有限公司、江苏射阳农村商业银行股份有限公司、江苏句容农村商业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乌鲁木齐银行股份有限公司、河北银行股份有限公司、郑州银行股份有限公司、江苏姜堰农村商业银行股份有限公司、山西银行股份有限公司、江苏如东农村商业银行股份有限公司、北京银行股份有限公司、哈密市商业银行股份有限公司、江苏赣榆农村商业银行股份有限公司、江苏盱眙农村商业银行股份有限公司、兰州银行股份有限公司、东营银行股份有限公司、甘肃银行股份有限公司、浙江民泰商业银行股份有限公司、江苏仪征农村商业银行股份有限公司、金华银行股份有限公司、吉林银行股份有限公司、连云港东方农村商业银行股份有限公司、德州银行股份有限公司、北京农村商业银行股份有限公司、上海农村商业银行股份有限公司、长安银行股份有限公司、江苏沭阳农村商业银行股份有限公司、海南农村商业银行股份有限公司、湖州银行股份有限公司、江苏灌云农村商业银行股份有限公司、江苏海安农村商业银行股份有限公司、江苏昆山农村商业银行股份有限公司、广州农村商业银行股份有限公司、江苏泰州农村商业银行股份有限公司、朝阳银行股份有限公司。销售机构基本信息详见第五条。</w:t>
            </w:r>
          </w:p>
          <w:p w14:paraId="162E8022">
            <w:pPr>
              <w:spacing w:line="240" w:lineRule="auto"/>
              <w:jc w:val="left"/>
              <w:rPr>
                <w:sz w:val="28"/>
                <w:szCs w:val="28"/>
              </w:rPr>
            </w:pPr>
            <w:r>
              <w:rPr>
                <w:rFonts w:ascii="方正黑体_GBK" w:hAnsi="方正黑体_GBK" w:eastAsia="方正黑体_GBK" w:cs="宋体"/>
                <w:sz w:val="22"/>
                <w:szCs w:val="22"/>
              </w:rPr>
              <w:t>销售机构主要职责如下：</w:t>
            </w:r>
          </w:p>
          <w:p w14:paraId="77DDB8C1">
            <w:pPr>
              <w:spacing w:line="240" w:lineRule="auto"/>
              <w:jc w:val="left"/>
              <w:rPr>
                <w:sz w:val="28"/>
                <w:szCs w:val="28"/>
              </w:rPr>
            </w:pPr>
            <w:r>
              <w:rPr>
                <w:rFonts w:ascii="方正黑体_GBK" w:hAnsi="方正黑体_GBK" w:eastAsia="方正黑体_GBK" w:cs="宋体"/>
                <w:sz w:val="22"/>
                <w:szCs w:val="22"/>
              </w:rPr>
              <w:t>1.按照法律法规、监管规定及理财产品销售文件的约定，开展理财产品销售活动，向投资者充分披露信息和揭示风险；</w:t>
            </w:r>
          </w:p>
          <w:p w14:paraId="57B7A8D6">
            <w:pPr>
              <w:spacing w:line="240" w:lineRule="auto"/>
              <w:jc w:val="left"/>
              <w:rPr>
                <w:sz w:val="28"/>
                <w:szCs w:val="28"/>
              </w:rPr>
            </w:pPr>
            <w:r>
              <w:rPr>
                <w:rFonts w:ascii="方正黑体_GBK" w:hAnsi="方正黑体_GBK" w:eastAsia="方正黑体_GBK" w:cs="宋体"/>
                <w:sz w:val="22"/>
                <w:szCs w:val="22"/>
              </w:rPr>
              <w:t>2.对普通投资者的风险承受能力进行评估，确保投资者风险承受能力评估的客观性、及时性和有效性；</w:t>
            </w:r>
          </w:p>
          <w:p w14:paraId="4E56BD2B">
            <w:pPr>
              <w:spacing w:line="240" w:lineRule="auto"/>
              <w:jc w:val="left"/>
              <w:rPr>
                <w:sz w:val="28"/>
                <w:szCs w:val="28"/>
              </w:rPr>
            </w:pPr>
            <w:r>
              <w:rPr>
                <w:rFonts w:ascii="方正黑体_GBK" w:hAnsi="方正黑体_GBK" w:eastAsia="方正黑体_GBK" w:cs="宋体"/>
                <w:sz w:val="22"/>
                <w:szCs w:val="22"/>
              </w:rPr>
              <w:t>3.妥善保管投资者理财产品销售相关资料，保管年限不低于20年；</w:t>
            </w:r>
          </w:p>
          <w:p w14:paraId="6606D707">
            <w:pPr>
              <w:spacing w:line="240" w:lineRule="auto"/>
              <w:jc w:val="left"/>
              <w:rPr>
                <w:sz w:val="28"/>
                <w:szCs w:val="28"/>
              </w:rPr>
            </w:pPr>
            <w:r>
              <w:rPr>
                <w:rFonts w:ascii="方正黑体_GBK" w:hAnsi="方正黑体_GBK" w:eastAsia="方正黑体_GBK" w:cs="宋体"/>
                <w:sz w:val="22"/>
                <w:szCs w:val="22"/>
              </w:rPr>
              <w:t>4.根据反洗钱、反恐怖融资及非居民金融账户涉税信息尽职调查等相关法律法规要求识别客户身份；</w:t>
            </w:r>
          </w:p>
          <w:p w14:paraId="67F66E6A">
            <w:pPr>
              <w:spacing w:line="240" w:lineRule="auto"/>
              <w:jc w:val="left"/>
              <w:rPr>
                <w:sz w:val="28"/>
                <w:szCs w:val="28"/>
              </w:rPr>
            </w:pPr>
            <w:r>
              <w:rPr>
                <w:rFonts w:ascii="方正黑体_GBK" w:hAnsi="方正黑体_GBK" w:eastAsia="方正黑体_GBK" w:cs="宋体"/>
                <w:sz w:val="22"/>
                <w:szCs w:val="22"/>
              </w:rPr>
              <w:t>5.建立健全投资者权益保护管理体系，加强投资者适当性管理；</w:t>
            </w:r>
          </w:p>
          <w:p w14:paraId="020A6B87">
            <w:pPr>
              <w:spacing w:line="240" w:lineRule="auto"/>
              <w:rPr>
                <w:sz w:val="28"/>
                <w:szCs w:val="28"/>
              </w:rPr>
            </w:pPr>
            <w:r>
              <w:rPr>
                <w:rFonts w:ascii="方正黑体_GBK" w:hAnsi="方正黑体_GBK" w:eastAsia="方正黑体_GBK" w:cs="宋体"/>
                <w:sz w:val="22"/>
                <w:szCs w:val="22"/>
              </w:rPr>
              <w:t>6.国务院银行业监督管理机构规定及本理财产品管理人与销售机构约定的其他职责。</w:t>
            </w:r>
          </w:p>
        </w:tc>
      </w:tr>
      <w:tr w14:paraId="2F06D033">
        <w:trPr>
          <w:trHeight w:val="34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724BB7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托管人及托管人职责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1DA981B4">
            <w:pPr>
              <w:spacing w:line="240" w:lineRule="auto"/>
              <w:rPr>
                <w:sz w:val="28"/>
                <w:szCs w:val="28"/>
              </w:rPr>
            </w:pPr>
            <w:r>
              <w:rPr>
                <w:rFonts w:ascii="方正黑体_GBK" w:hAnsi="方正黑体_GBK" w:eastAsia="方正黑体_GBK" w:cs="宋体"/>
                <w:sz w:val="22"/>
                <w:szCs w:val="22"/>
              </w:rPr>
              <w:t>本理财产品托管人为南京银行股份有限公司，住所：南京市建邺区江山大街88号，联系方式：95302。</w:t>
            </w:r>
          </w:p>
          <w:p w14:paraId="2A3682C5">
            <w:pPr>
              <w:spacing w:line="240" w:lineRule="auto"/>
              <w:rPr>
                <w:sz w:val="28"/>
                <w:szCs w:val="28"/>
              </w:rPr>
            </w:pPr>
            <w:r>
              <w:rPr>
                <w:rFonts w:ascii="方正黑体_GBK" w:hAnsi="方正黑体_GBK" w:eastAsia="方正黑体_GBK" w:cs="宋体"/>
                <w:sz w:val="22"/>
                <w:szCs w:val="22"/>
              </w:rPr>
              <w:t>主要职责如下：</w:t>
            </w:r>
          </w:p>
          <w:p w14:paraId="6AA67081">
            <w:pPr>
              <w:spacing w:line="240" w:lineRule="auto"/>
              <w:rPr>
                <w:sz w:val="28"/>
                <w:szCs w:val="28"/>
              </w:rPr>
            </w:pPr>
            <w:r>
              <w:rPr>
                <w:rFonts w:ascii="方正黑体_GBK" w:hAnsi="方正黑体_GBK" w:eastAsia="方正黑体_GBK" w:cs="宋体"/>
                <w:sz w:val="22"/>
                <w:szCs w:val="22"/>
              </w:rPr>
              <w:t>1.安全保管理财产品财产；</w:t>
            </w:r>
          </w:p>
          <w:p w14:paraId="068D296F">
            <w:pPr>
              <w:spacing w:line="240" w:lineRule="auto"/>
              <w:rPr>
                <w:sz w:val="28"/>
                <w:szCs w:val="28"/>
              </w:rPr>
            </w:pPr>
            <w:r>
              <w:rPr>
                <w:rFonts w:ascii="方正黑体_GBK" w:hAnsi="方正黑体_GBK" w:eastAsia="方正黑体_GBK" w:cs="宋体"/>
                <w:sz w:val="22"/>
                <w:szCs w:val="22"/>
              </w:rPr>
              <w:t>2.为每只理财产品开设独立的托管账户，不同托管账户中的资产应当相互独立；</w:t>
            </w:r>
          </w:p>
          <w:p w14:paraId="339F7C0C">
            <w:pPr>
              <w:spacing w:line="240" w:lineRule="auto"/>
              <w:rPr>
                <w:sz w:val="28"/>
                <w:szCs w:val="28"/>
              </w:rPr>
            </w:pPr>
            <w:r>
              <w:rPr>
                <w:rFonts w:ascii="方正黑体_GBK" w:hAnsi="方正黑体_GBK" w:eastAsia="方正黑体_GBK" w:cs="宋体"/>
                <w:sz w:val="22"/>
                <w:szCs w:val="22"/>
              </w:rPr>
              <w:t>3.按照托管协议约定和管理人的投资指令，及时办理清算、交割事宜；</w:t>
            </w:r>
          </w:p>
          <w:p w14:paraId="642E0053">
            <w:pPr>
              <w:spacing w:line="240" w:lineRule="auto"/>
              <w:rPr>
                <w:sz w:val="28"/>
                <w:szCs w:val="28"/>
              </w:rPr>
            </w:pPr>
            <w:r>
              <w:rPr>
                <w:rFonts w:ascii="方正黑体_GBK" w:hAnsi="方正黑体_GBK" w:eastAsia="方正黑体_GBK" w:cs="宋体"/>
                <w:sz w:val="22"/>
                <w:szCs w:val="22"/>
              </w:rPr>
              <w:t>4.建立与管理人的对账机制，复核、审查理财产品资金头寸、资产账目、资产净值、认购和赎回价格等数据，及时核查认购、赎回以及投资资金的支付和到账情况；</w:t>
            </w:r>
          </w:p>
          <w:p w14:paraId="49F69F98">
            <w:pPr>
              <w:spacing w:line="240" w:lineRule="auto"/>
              <w:rPr>
                <w:sz w:val="28"/>
                <w:szCs w:val="28"/>
              </w:rPr>
            </w:pPr>
            <w:r>
              <w:rPr>
                <w:rFonts w:ascii="方正黑体_GBK" w:hAnsi="方正黑体_GBK" w:eastAsia="方正黑体_GBK" w:cs="宋体"/>
                <w:sz w:val="22"/>
                <w:szCs w:val="22"/>
              </w:rPr>
              <w:t>5.监督理财产品投资运作，发现理财产品违反法律、行政法规、规章规定或合同约定进行投资的，应当拒绝执行，及时通知管理人并报告银行业监督管理机构；</w:t>
            </w:r>
          </w:p>
          <w:p w14:paraId="3EC07588">
            <w:pPr>
              <w:spacing w:line="240" w:lineRule="auto"/>
              <w:rPr>
                <w:sz w:val="28"/>
                <w:szCs w:val="28"/>
              </w:rPr>
            </w:pPr>
            <w:r>
              <w:rPr>
                <w:rFonts w:ascii="方正黑体_GBK" w:hAnsi="方正黑体_GBK" w:eastAsia="方正黑体_GBK" w:cs="宋体"/>
                <w:sz w:val="22"/>
                <w:szCs w:val="22"/>
              </w:rPr>
              <w:t>6.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63E6045A">
            <w:pPr>
              <w:spacing w:line="240" w:lineRule="auto"/>
              <w:rPr>
                <w:sz w:val="28"/>
                <w:szCs w:val="28"/>
              </w:rPr>
            </w:pPr>
            <w:r>
              <w:rPr>
                <w:rFonts w:ascii="方正黑体_GBK" w:hAnsi="方正黑体_GBK" w:eastAsia="方正黑体_GBK" w:cs="宋体"/>
                <w:sz w:val="22"/>
                <w:szCs w:val="22"/>
              </w:rPr>
              <w:t>7.理财托管业务活动的记录、账册、报表和其他相关资料保存20年以上；</w:t>
            </w:r>
          </w:p>
          <w:p w14:paraId="37D96AD5">
            <w:pPr>
              <w:spacing w:line="240" w:lineRule="auto"/>
              <w:rPr>
                <w:sz w:val="28"/>
                <w:szCs w:val="28"/>
              </w:rPr>
            </w:pPr>
            <w:r>
              <w:rPr>
                <w:rFonts w:ascii="方正黑体_GBK" w:hAnsi="方正黑体_GBK" w:eastAsia="方正黑体_GBK" w:cs="宋体"/>
                <w:sz w:val="22"/>
                <w:szCs w:val="22"/>
              </w:rPr>
              <w:t>8.对理财产品投资信息和相关资料承担保密责任，除法律、行政法规、规章规定、审计要求或者合同约定外，不得向任何机构或者个人提供相关信息和资料；</w:t>
            </w:r>
          </w:p>
          <w:p w14:paraId="1BD8757A">
            <w:pPr>
              <w:spacing w:line="240" w:lineRule="auto"/>
              <w:rPr>
                <w:sz w:val="28"/>
                <w:szCs w:val="28"/>
              </w:rPr>
            </w:pPr>
            <w:r>
              <w:rPr>
                <w:rFonts w:ascii="方正黑体_GBK" w:hAnsi="方正黑体_GBK" w:eastAsia="方正黑体_GBK" w:cs="宋体"/>
                <w:sz w:val="22"/>
                <w:szCs w:val="22"/>
              </w:rPr>
              <w:t>9.国务院银行业监督管理机构规定及本理财产品相关托管协议中约定的其他职责。</w:t>
            </w:r>
          </w:p>
        </w:tc>
      </w:tr>
      <w:tr w14:paraId="79371BEC">
        <w:trPr>
          <w:trHeight w:val="5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37C09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拟进行合作的理财投资合作机构</w:t>
            </w:r>
          </w:p>
        </w:tc>
        <w:tc>
          <w:tcPr>
            <w:tcW w:w="5543" w:type="dxa"/>
            <w:tcBorders>
              <w:top w:val="single" w:color="auto" w:sz="4" w:space="0"/>
              <w:left w:val="nil"/>
              <w:bottom w:val="single" w:color="auto" w:sz="4" w:space="0"/>
              <w:right w:val="single" w:color="auto" w:sz="4" w:space="0"/>
              <w:tl2br w:val="nil"/>
              <w:tr2bl w:val="nil"/>
            </w:tcBorders>
            <w:vAlign w:val="center"/>
          </w:tcPr>
          <w:p w14:paraId="3C4A611B">
            <w:pPr>
              <w:spacing w:line="240" w:lineRule="auto"/>
              <w:rPr>
                <w:sz w:val="28"/>
                <w:szCs w:val="28"/>
              </w:rPr>
            </w:pPr>
            <w:r>
              <w:rPr>
                <w:rFonts w:ascii="方正黑体_GBK" w:hAnsi="方正黑体_GBK" w:eastAsia="方正黑体_GBK" w:cs="宋体"/>
                <w:sz w:val="22"/>
                <w:szCs w:val="22"/>
              </w:rPr>
              <w:t>本理财产品合作机构为国联基金管理有限公司、国寿投资保险资产管理有限公司、国投泰康信托有限公司、华能贵诚信托有限公司、华鑫国际信托有限公司、建信信托有限责任公司、江苏省国际信托有限责任公司、平安资产管理有限责任公司、上海国际信托有限公司、太平洋资产管理有限责任公司、太平资产管理有限公司、天津信托有限责任公司、西部信托有限公司、云南国际信托有限公司、中国人保资产管理有限公司、中粮信托有限责任公司、中信信托有限责任公司、鑫元基金管理有限公司，上述投资合作机构主要职责对应如下，具体职责以管理人与投资合作机构签署的合同为准。</w:t>
            </w:r>
          </w:p>
          <w:p w14:paraId="7B2E0AF2">
            <w:pPr>
              <w:spacing w:line="240" w:lineRule="auto"/>
              <w:rPr>
                <w:sz w:val="28"/>
                <w:szCs w:val="28"/>
              </w:rPr>
            </w:pPr>
            <w:r>
              <w:rPr>
                <w:rFonts w:ascii="方正黑体_GBK" w:hAnsi="方正黑体_GBK" w:eastAsia="方正黑体_GBK" w:cs="宋体"/>
                <w:sz w:val="22"/>
                <w:szCs w:val="22"/>
              </w:rPr>
              <w:t>1.合作机构为理财产品所投资资产管理产品的发行机构，主要承担资产管理产品的管理人职责：平安资产管理有限责任公司、太平洋资产管理有限责任公司、太平资产管理有限公司、中国人保资产管理有限公司。</w:t>
            </w:r>
          </w:p>
          <w:p w14:paraId="76AA0B74">
            <w:pPr>
              <w:spacing w:line="240" w:lineRule="auto"/>
              <w:rPr>
                <w:sz w:val="28"/>
                <w:szCs w:val="28"/>
              </w:rPr>
            </w:pPr>
            <w:r>
              <w:rPr>
                <w:rFonts w:ascii="方正黑体_GBK" w:hAnsi="方正黑体_GBK" w:eastAsia="方正黑体_GBK" w:cs="宋体"/>
                <w:sz w:val="22"/>
                <w:szCs w:val="22"/>
              </w:rPr>
              <w:t>2.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粮信托有限责任公司、中信信托有限责任公司、鑫元基金管理有限公司。</w:t>
            </w:r>
          </w:p>
          <w:p w14:paraId="4DA60AC8">
            <w:pPr>
              <w:spacing w:line="240" w:lineRule="auto"/>
              <w:rPr>
                <w:sz w:val="28"/>
                <w:szCs w:val="28"/>
              </w:rPr>
            </w:pPr>
            <w:r>
              <w:rPr>
                <w:rFonts w:ascii="方正黑体_GBK" w:hAnsi="方正黑体_GBK" w:eastAsia="方正黑体_GBK" w:cs="宋体"/>
                <w:sz w:val="22"/>
                <w:szCs w:val="22"/>
              </w:rPr>
              <w:t>若上述合作机构及其职责发生调整，管理人将在本理财产品的定期报告中进行信息披露。</w:t>
            </w:r>
          </w:p>
          <w:p w14:paraId="27D5FFCE">
            <w:pPr>
              <w:spacing w:line="240" w:lineRule="auto"/>
              <w:rPr>
                <w:sz w:val="28"/>
                <w:szCs w:val="28"/>
              </w:rPr>
            </w:pPr>
            <w:r>
              <w:rPr>
                <w:rFonts w:ascii="方正黑体_GBK" w:hAnsi="方正黑体_GBK" w:eastAsia="方正黑体_GBK" w:cs="宋体"/>
                <w:sz w:val="22"/>
                <w:szCs w:val="22"/>
              </w:rPr>
              <w:t>上述投资合作机构简介：</w:t>
            </w:r>
          </w:p>
          <w:p w14:paraId="07EF64D0">
            <w:pPr>
              <w:spacing w:line="240" w:lineRule="auto"/>
              <w:rPr>
                <w:sz w:val="28"/>
                <w:szCs w:val="28"/>
              </w:rPr>
            </w:pPr>
            <w:r>
              <w:rPr>
                <w:rFonts w:ascii="方正黑体_GBK" w:hAnsi="方正黑体_GBK" w:eastAsia="方正黑体_GBK" w:cs="宋体"/>
                <w:sz w:val="22"/>
                <w:szCs w:val="22"/>
              </w:rPr>
              <w:t>国联基金管理有限公司成立于2013年05月31日，注册资本金11.5亿元。</w:t>
            </w:r>
          </w:p>
          <w:p w14:paraId="620FE21E">
            <w:pPr>
              <w:spacing w:line="240" w:lineRule="auto"/>
              <w:rPr>
                <w:sz w:val="28"/>
                <w:szCs w:val="28"/>
              </w:rPr>
            </w:pPr>
            <w:r>
              <w:rPr>
                <w:rFonts w:ascii="方正黑体_GBK" w:hAnsi="方正黑体_GBK" w:eastAsia="方正黑体_GBK" w:cs="宋体"/>
                <w:sz w:val="22"/>
                <w:szCs w:val="22"/>
              </w:rPr>
              <w:t>国寿投资保险资产管理有限公司成立于1994年06月01日，注册资本金 370000万元。</w:t>
            </w:r>
          </w:p>
          <w:p w14:paraId="5DE5720E">
            <w:pPr>
              <w:spacing w:line="240" w:lineRule="auto"/>
              <w:rPr>
                <w:sz w:val="28"/>
                <w:szCs w:val="28"/>
              </w:rPr>
            </w:pPr>
            <w:r>
              <w:rPr>
                <w:rFonts w:ascii="方正黑体_GBK" w:hAnsi="方正黑体_GBK" w:eastAsia="方正黑体_GBK" w:cs="宋体"/>
                <w:sz w:val="22"/>
                <w:szCs w:val="22"/>
              </w:rPr>
              <w:t>国投泰康信托有限公司成立于1986年06月26日，注册资本金267,054.5454万人民币。</w:t>
            </w:r>
          </w:p>
          <w:p w14:paraId="2FF90B81">
            <w:pPr>
              <w:spacing w:line="240" w:lineRule="auto"/>
              <w:rPr>
                <w:sz w:val="28"/>
                <w:szCs w:val="28"/>
              </w:rPr>
            </w:pPr>
            <w:r>
              <w:rPr>
                <w:rFonts w:ascii="方正黑体_GBK" w:hAnsi="方正黑体_GBK" w:eastAsia="方正黑体_GBK" w:cs="宋体"/>
                <w:sz w:val="22"/>
                <w:szCs w:val="22"/>
              </w:rPr>
              <w:t>华能贵诚信托有限公司成立于2002年09月29日，注册资本金619,455.7406万元人民币。</w:t>
            </w:r>
          </w:p>
          <w:p w14:paraId="4CC227BC">
            <w:pPr>
              <w:spacing w:line="240" w:lineRule="auto"/>
              <w:rPr>
                <w:sz w:val="28"/>
                <w:szCs w:val="28"/>
              </w:rPr>
            </w:pPr>
            <w:r>
              <w:rPr>
                <w:rFonts w:ascii="方正黑体_GBK" w:hAnsi="方正黑体_GBK" w:eastAsia="方正黑体_GBK" w:cs="宋体"/>
                <w:sz w:val="22"/>
                <w:szCs w:val="22"/>
              </w:rPr>
              <w:t>华鑫国际信托有限公司成立于1984年06月01日，注册资本金73.95亿元。</w:t>
            </w:r>
          </w:p>
          <w:p w14:paraId="2E39EE28">
            <w:pPr>
              <w:spacing w:line="240" w:lineRule="auto"/>
              <w:rPr>
                <w:sz w:val="28"/>
                <w:szCs w:val="28"/>
              </w:rPr>
            </w:pPr>
            <w:r>
              <w:rPr>
                <w:rFonts w:ascii="方正黑体_GBK" w:hAnsi="方正黑体_GBK" w:eastAsia="方正黑体_GBK" w:cs="宋体"/>
                <w:sz w:val="22"/>
                <w:szCs w:val="22"/>
              </w:rPr>
              <w:t>建信信托有限责任公司成立于2003年12月31日，注册资本金105亿元。</w:t>
            </w:r>
          </w:p>
          <w:p w14:paraId="4EB92976">
            <w:pPr>
              <w:spacing w:line="240" w:lineRule="auto"/>
              <w:rPr>
                <w:sz w:val="28"/>
                <w:szCs w:val="28"/>
              </w:rPr>
            </w:pPr>
            <w:r>
              <w:rPr>
                <w:rFonts w:ascii="方正黑体_GBK" w:hAnsi="方正黑体_GBK" w:eastAsia="方正黑体_GBK" w:cs="宋体"/>
                <w:sz w:val="22"/>
                <w:szCs w:val="22"/>
              </w:rPr>
              <w:t>江苏省国际信托有限责任公司成立于1992年06月01日，注册资本金87.60亿元。</w:t>
            </w:r>
          </w:p>
          <w:p w14:paraId="37439586">
            <w:pPr>
              <w:spacing w:line="240" w:lineRule="auto"/>
              <w:rPr>
                <w:sz w:val="28"/>
                <w:szCs w:val="28"/>
              </w:rPr>
            </w:pPr>
            <w:r>
              <w:rPr>
                <w:rFonts w:ascii="方正黑体_GBK" w:hAnsi="方正黑体_GBK" w:eastAsia="方正黑体_GBK" w:cs="宋体"/>
                <w:sz w:val="22"/>
                <w:szCs w:val="22"/>
              </w:rPr>
              <w:t>平安资产管理有限责任公司成立于2005年05月27日，注册资本金15亿元。</w:t>
            </w:r>
          </w:p>
          <w:p w14:paraId="02954BDD">
            <w:pPr>
              <w:spacing w:line="240" w:lineRule="auto"/>
              <w:rPr>
                <w:sz w:val="28"/>
                <w:szCs w:val="28"/>
              </w:rPr>
            </w:pPr>
            <w:r>
              <w:rPr>
                <w:rFonts w:ascii="方正黑体_GBK" w:hAnsi="方正黑体_GBK" w:eastAsia="方正黑体_GBK" w:cs="宋体"/>
                <w:sz w:val="22"/>
                <w:szCs w:val="22"/>
              </w:rPr>
              <w:t>上海国际信托有限公司成立于1981年05月06日，注册资本金50亿元。</w:t>
            </w:r>
          </w:p>
          <w:p w14:paraId="09011D25">
            <w:pPr>
              <w:spacing w:line="240" w:lineRule="auto"/>
              <w:rPr>
                <w:sz w:val="28"/>
                <w:szCs w:val="28"/>
              </w:rPr>
            </w:pPr>
            <w:r>
              <w:rPr>
                <w:rFonts w:ascii="方正黑体_GBK" w:hAnsi="方正黑体_GBK" w:eastAsia="方正黑体_GBK" w:cs="宋体"/>
                <w:sz w:val="22"/>
                <w:szCs w:val="22"/>
              </w:rPr>
              <w:t>太平洋资产管理有限责任公司成立于2006年06月09日，注册资本金21亿元。</w:t>
            </w:r>
          </w:p>
          <w:p w14:paraId="4BACCDDA">
            <w:pPr>
              <w:spacing w:line="240" w:lineRule="auto"/>
              <w:rPr>
                <w:sz w:val="28"/>
                <w:szCs w:val="28"/>
              </w:rPr>
            </w:pPr>
            <w:r>
              <w:rPr>
                <w:rFonts w:ascii="方正黑体_GBK" w:hAnsi="方正黑体_GBK" w:eastAsia="方正黑体_GBK" w:cs="宋体"/>
                <w:sz w:val="22"/>
                <w:szCs w:val="22"/>
              </w:rPr>
              <w:t>太平资产管理有限公司成立于2006年09月01日，注册资本金10亿元。</w:t>
            </w:r>
          </w:p>
          <w:p w14:paraId="462069CF">
            <w:pPr>
              <w:spacing w:line="240" w:lineRule="auto"/>
              <w:rPr>
                <w:sz w:val="28"/>
                <w:szCs w:val="28"/>
              </w:rPr>
            </w:pPr>
            <w:r>
              <w:rPr>
                <w:rFonts w:ascii="方正黑体_GBK" w:hAnsi="方正黑体_GBK" w:eastAsia="方正黑体_GBK" w:cs="宋体"/>
                <w:sz w:val="22"/>
                <w:szCs w:val="22"/>
              </w:rPr>
              <w:t>天津信托有限责任公司成立于1986年09月23日，注册资本金170000万元人民币。</w:t>
            </w:r>
          </w:p>
          <w:p w14:paraId="05FB9859">
            <w:pPr>
              <w:spacing w:line="240" w:lineRule="auto"/>
              <w:rPr>
                <w:sz w:val="28"/>
                <w:szCs w:val="28"/>
              </w:rPr>
            </w:pPr>
            <w:r>
              <w:rPr>
                <w:rFonts w:ascii="方正黑体_GBK" w:hAnsi="方正黑体_GBK" w:eastAsia="方正黑体_GBK" w:cs="宋体"/>
                <w:sz w:val="22"/>
                <w:szCs w:val="22"/>
              </w:rPr>
              <w:t>西部信托有限公司成立于2002年07月18日，注册资本金20亿元。</w:t>
            </w:r>
          </w:p>
          <w:p w14:paraId="0D203B39">
            <w:pPr>
              <w:spacing w:line="240" w:lineRule="auto"/>
              <w:rPr>
                <w:sz w:val="28"/>
                <w:szCs w:val="28"/>
              </w:rPr>
            </w:pPr>
            <w:r>
              <w:rPr>
                <w:rFonts w:ascii="方正黑体_GBK" w:hAnsi="方正黑体_GBK" w:eastAsia="方正黑体_GBK" w:cs="宋体"/>
                <w:sz w:val="22"/>
                <w:szCs w:val="22"/>
              </w:rPr>
              <w:t>云南国际信托有限公司成立于1997年09月03日，注册资本金120000万元人民币。</w:t>
            </w:r>
          </w:p>
          <w:p w14:paraId="3980A804">
            <w:pPr>
              <w:spacing w:line="240" w:lineRule="auto"/>
              <w:rPr>
                <w:sz w:val="28"/>
                <w:szCs w:val="28"/>
              </w:rPr>
            </w:pPr>
            <w:r>
              <w:rPr>
                <w:rFonts w:ascii="方正黑体_GBK" w:hAnsi="方正黑体_GBK" w:eastAsia="方正黑体_GBK" w:cs="宋体"/>
                <w:sz w:val="22"/>
                <w:szCs w:val="22"/>
              </w:rPr>
              <w:t>中国人保资产管理有限公司成立于2003年07月16日，注册资本金12.98亿元。</w:t>
            </w:r>
          </w:p>
          <w:p w14:paraId="0EE3C6BB">
            <w:pPr>
              <w:spacing w:line="240" w:lineRule="auto"/>
              <w:rPr>
                <w:sz w:val="28"/>
                <w:szCs w:val="28"/>
              </w:rPr>
            </w:pPr>
            <w:r>
              <w:rPr>
                <w:rFonts w:ascii="方正黑体_GBK" w:hAnsi="方正黑体_GBK" w:eastAsia="方正黑体_GBK" w:cs="宋体"/>
                <w:sz w:val="22"/>
                <w:szCs w:val="22"/>
              </w:rPr>
              <w:t>中粮信托有限责任公司成立于2009年07月27日，注册资本金28.3亿元。</w:t>
            </w:r>
          </w:p>
          <w:p w14:paraId="489D3E22">
            <w:pPr>
              <w:spacing w:line="240" w:lineRule="auto"/>
              <w:rPr>
                <w:sz w:val="28"/>
                <w:szCs w:val="28"/>
              </w:rPr>
            </w:pPr>
            <w:r>
              <w:rPr>
                <w:rFonts w:ascii="方正黑体_GBK" w:hAnsi="方正黑体_GBK" w:eastAsia="方正黑体_GBK" w:cs="宋体"/>
                <w:sz w:val="22"/>
                <w:szCs w:val="22"/>
              </w:rPr>
              <w:t>中信信托有限责任公司成立于1988年03月01日，注册资本金1127600万元人民币。</w:t>
            </w:r>
          </w:p>
          <w:p w14:paraId="4A14FD8B">
            <w:pPr>
              <w:spacing w:line="240" w:lineRule="auto"/>
              <w:rPr>
                <w:sz w:val="28"/>
                <w:szCs w:val="28"/>
              </w:rPr>
            </w:pPr>
            <w:r>
              <w:rPr>
                <w:rFonts w:ascii="方正黑体_GBK" w:hAnsi="方正黑体_GBK" w:eastAsia="方正黑体_GBK" w:cs="宋体"/>
                <w:sz w:val="22"/>
                <w:szCs w:val="22"/>
              </w:rPr>
              <w:t>鑫元基金管理有限公司成立于2013年08月29日，注册资本金17亿元。</w:t>
            </w:r>
          </w:p>
        </w:tc>
      </w:tr>
      <w:tr w14:paraId="685FDCF1">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C0406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其他说明事项</w:t>
            </w:r>
          </w:p>
        </w:tc>
        <w:tc>
          <w:tcPr>
            <w:tcW w:w="5543" w:type="dxa"/>
            <w:tcBorders>
              <w:top w:val="single" w:color="auto" w:sz="4" w:space="0"/>
              <w:left w:val="nil"/>
              <w:bottom w:val="single" w:color="auto" w:sz="4" w:space="0"/>
              <w:right w:val="single" w:color="auto" w:sz="4" w:space="0"/>
              <w:tl2br w:val="nil"/>
              <w:tr2bl w:val="nil"/>
            </w:tcBorders>
            <w:vAlign w:val="center"/>
          </w:tcPr>
          <w:p w14:paraId="0746E645">
            <w:pPr>
              <w:spacing w:line="240" w:lineRule="auto"/>
              <w:jc w:val="left"/>
              <w:rPr>
                <w:sz w:val="28"/>
                <w:szCs w:val="28"/>
              </w:rPr>
            </w:pPr>
            <w:r>
              <w:rPr>
                <w:rFonts w:ascii="方正黑体_GBK" w:hAnsi="方正黑体_GBK" w:eastAsia="方正黑体_GBK" w:cs="宋体"/>
                <w:color w:val="000000"/>
                <w:sz w:val="22"/>
                <w:szCs w:val="22"/>
              </w:rPr>
              <w:t>1.本理财产品为封闭式产品，在封闭期内不开放申购/赎回，投资者应考虑产品期限并合理安排自身投资计划。</w:t>
            </w:r>
          </w:p>
          <w:p w14:paraId="11F763C9">
            <w:pPr>
              <w:spacing w:line="240" w:lineRule="auto"/>
              <w:jc w:val="left"/>
              <w:rPr>
                <w:sz w:val="28"/>
                <w:szCs w:val="28"/>
              </w:rPr>
            </w:pPr>
            <w:r>
              <w:rPr>
                <w:rFonts w:ascii="方正黑体_GBK" w:hAnsi="方正黑体_GBK" w:eastAsia="方正黑体_GBK" w:cs="宋体"/>
                <w:color w:val="000000"/>
                <w:sz w:val="22"/>
                <w:szCs w:val="22"/>
              </w:rPr>
              <w:t>2.管理人在本理财产品存续期间按照监管规定进行信息披露，详见本理财产品说明书第五条信息披露。</w:t>
            </w:r>
          </w:p>
          <w:p w14:paraId="087B0A3E">
            <w:pPr>
              <w:spacing w:line="240" w:lineRule="auto"/>
              <w:jc w:val="left"/>
              <w:rPr>
                <w:sz w:val="28"/>
                <w:szCs w:val="28"/>
              </w:rPr>
            </w:pPr>
            <w:r>
              <w:rPr>
                <w:rFonts w:ascii="方正黑体_GBK" w:hAnsi="方正黑体_GBK" w:eastAsia="方正黑体_GBK" w:cs="宋体"/>
                <w:color w:val="000000"/>
                <w:sz w:val="22"/>
                <w:szCs w:val="22"/>
              </w:rPr>
              <w:t>3.本理财产品投资的资产管理产品的业绩报酬、赎回费等的提取（如有）可能造成本理财产品净值的下降。</w:t>
            </w:r>
          </w:p>
          <w:p w14:paraId="4FB69226">
            <w:pPr>
              <w:spacing w:line="240" w:lineRule="auto"/>
              <w:jc w:val="left"/>
              <w:rPr>
                <w:sz w:val="28"/>
                <w:szCs w:val="28"/>
              </w:rPr>
            </w:pPr>
            <w:r>
              <w:rPr>
                <w:rFonts w:ascii="方正黑体_GBK" w:hAnsi="方正黑体_GBK" w:eastAsia="方正黑体_GBK" w:cs="宋体"/>
                <w:b/>
                <w:color w:val="000000"/>
                <w:sz w:val="22"/>
                <w:szCs w:val="22"/>
              </w:rPr>
              <w:t>4.</w:t>
            </w:r>
            <w:r>
              <w:rPr>
                <w:rFonts w:ascii="方正黑体_GBK" w:hAnsi="方正黑体_GBK" w:eastAsia="方正黑体_GBK" w:cs="宋体"/>
                <w:b/>
                <w:sz w:val="22"/>
                <w:szCs w:val="22"/>
              </w:rPr>
              <w:t>本理财产品计划投资不存在活跃交易市场，并且需要采用估值技术确定公允价值的资产；计划投资上述资产的比例达到理财产品净资产50％以上。</w:t>
            </w:r>
          </w:p>
        </w:tc>
      </w:tr>
      <w:tr w14:paraId="66B32DA3">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A3F93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税务处理</w:t>
            </w:r>
          </w:p>
        </w:tc>
        <w:tc>
          <w:tcPr>
            <w:tcW w:w="5543" w:type="dxa"/>
            <w:tcBorders>
              <w:top w:val="single" w:color="auto" w:sz="4" w:space="0"/>
              <w:left w:val="nil"/>
              <w:bottom w:val="single" w:color="auto" w:sz="4" w:space="0"/>
              <w:right w:val="single" w:color="auto" w:sz="4" w:space="0"/>
              <w:tl2br w:val="nil"/>
              <w:tr2bl w:val="nil"/>
            </w:tcBorders>
            <w:vAlign w:val="center"/>
          </w:tcPr>
          <w:p w14:paraId="0BFAEBCC">
            <w:pPr>
              <w:spacing w:line="240" w:lineRule="auto"/>
              <w:rPr>
                <w:sz w:val="28"/>
                <w:szCs w:val="28"/>
              </w:rPr>
            </w:pPr>
            <w:r>
              <w:rPr>
                <w:rFonts w:ascii="方正黑体_GBK" w:hAnsi="方正黑体_GBK" w:eastAsia="方正黑体_GBK" w:cs="宋体"/>
                <w:sz w:val="22"/>
                <w:szCs w:val="22"/>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14:paraId="63845451">
      <w:pPr>
        <w:pStyle w:val="29"/>
        <w:spacing w:line="240" w:lineRule="auto"/>
        <w:rPr>
          <w:rFonts w:hint="eastAsia" w:ascii="方正黑体_GBK" w:hAnsi="方正黑体_GBK" w:eastAsia="方正黑体_GBK"/>
          <w:b/>
          <w:sz w:val="20"/>
          <w:szCs w:val="20"/>
        </w:rPr>
      </w:pPr>
      <w:r>
        <w:rPr>
          <w:rFonts w:ascii="方正黑体_GBK" w:hAnsi="方正黑体_GBK" w:eastAsia="方正黑体_GBK"/>
          <w:b/>
          <w:caps w:val="0"/>
          <w:smallCaps w:val="0"/>
          <w:snapToGrid/>
          <w:vanish w:val="0"/>
          <w:color w:val="auto"/>
          <w:sz w:val="20"/>
          <w:szCs w:val="20"/>
          <w:vertAlign w:val="baseline"/>
        </w:rPr>
        <w:t>特别说明：本理财产品无预期收益率，</w:t>
      </w:r>
      <w:r>
        <w:rPr>
          <w:rFonts w:ascii="方正黑体_GBK" w:hAnsi="方正黑体_GBK" w:eastAsia="方正黑体_GBK"/>
          <w:b/>
          <w:caps w:val="0"/>
          <w:smallCaps w:val="0"/>
          <w:snapToGrid/>
          <w:vanish w:val="0"/>
          <w:color w:val="auto"/>
          <w:sz w:val="20"/>
          <w:szCs w:val="20"/>
          <w:u w:val="single"/>
          <w:vertAlign w:val="baseline"/>
        </w:rPr>
        <w:t>理财产品过往业绩不代表其未来表现，不等于理财产品实际收益，</w:t>
      </w:r>
      <w:r>
        <w:rPr>
          <w:rFonts w:ascii="方正黑体_GBK" w:hAnsi="方正黑体_GBK" w:eastAsia="方正黑体_GBK"/>
          <w:b/>
          <w:caps w:val="0"/>
          <w:smallCaps w:val="0"/>
          <w:snapToGrid/>
          <w:vanish w:val="0"/>
          <w:color w:val="auto"/>
          <w:sz w:val="20"/>
          <w:szCs w:val="20"/>
          <w:vertAlign w:val="baseline"/>
        </w:rPr>
        <w:t>投资须谨慎。</w:t>
      </w:r>
    </w:p>
    <w:p w14:paraId="5AF84FDA">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outlineLvl w:val="0"/>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第二条</w:t>
      </w:r>
      <w:r>
        <w:rPr>
          <w:rFonts w:hint="eastAsia" w:ascii="方正黑体_GBK" w:hAnsi="方正黑体_GBK" w:eastAsia="方正黑体_GBK" w:cs="Times New Roman"/>
          <w:b/>
          <w:bCs/>
          <w:vanish w:val="0"/>
          <w:color w:val="3D3D3D"/>
          <w:kern w:val="0"/>
          <w:sz w:val="20"/>
          <w:szCs w:val="20"/>
        </w:rPr>
        <w:t xml:space="preserve">  </w:t>
      </w:r>
      <w:r>
        <w:rPr>
          <w:rFonts w:hint="eastAsia" w:ascii="方正黑体_GBK" w:hAnsi="方正黑体_GBK" w:eastAsia="方正黑体_GBK"/>
          <w:b/>
          <w:bCs/>
          <w:vanish w:val="0"/>
          <w:color w:val="3D3D3D"/>
          <w:kern w:val="0"/>
          <w:sz w:val="20"/>
          <w:szCs w:val="20"/>
        </w:rPr>
        <w:t>名词释义</w:t>
      </w:r>
    </w:p>
    <w:p w14:paraId="3F48D4FC">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89"/>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在本理财产品说明书中，除非上下文另有明确约定，下列用词将具有如下含义：</w:t>
      </w:r>
    </w:p>
    <w:p w14:paraId="5F96589C">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参与主体用语</w:t>
      </w:r>
    </w:p>
    <w:p w14:paraId="48FFD73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1.南银理财/管理人/</w:t>
      </w:r>
      <w:r>
        <w:rPr>
          <w:rFonts w:hint="eastAsia" w:ascii="方正黑体_GBK" w:hAnsi="方正黑体_GBK" w:eastAsia="方正黑体_GBK"/>
          <w:color w:val="3D3D3D"/>
          <w:kern w:val="0"/>
          <w:sz w:val="20"/>
          <w:szCs w:val="20"/>
          <w:highlight w:val="none"/>
          <w:lang w:val="en-US" w:eastAsia="zh-CN"/>
        </w:rPr>
        <w:t>产品管理人/</w:t>
      </w:r>
      <w:r>
        <w:rPr>
          <w:rFonts w:ascii="方正黑体_GBK" w:hAnsi="方正黑体_GBK" w:eastAsia="方正黑体_GBK"/>
          <w:color w:val="3D3D3D"/>
          <w:kern w:val="0"/>
          <w:sz w:val="20"/>
          <w:szCs w:val="20"/>
          <w:highlight w:val="none"/>
        </w:rPr>
        <w:t>理财产品管理人：指南银理财有限责任公司。</w:t>
      </w:r>
    </w:p>
    <w:p w14:paraId="7597B2A5">
      <w:pPr>
        <w:pStyle w:val="44"/>
        <w:keepNext w:val="0"/>
        <w:keepLines w:val="0"/>
        <w:pageBreakBefore w:val="0"/>
        <w:widowControl/>
        <w:suppressLineNumbers w:val="0"/>
        <w:tabs>
          <w:tab w:val="left" w:pos="567"/>
        </w:tabs>
        <w:suppressAutoHyphens w:val="0"/>
        <w:spacing w:line="240" w:lineRule="auto"/>
        <w:ind w:firstLine="0"/>
        <w:outlineLvl w:val="1"/>
        <w:rPr>
          <w:color w:val="3D3D3D"/>
          <w:kern w:val="0"/>
          <w:sz w:val="20"/>
          <w:szCs w:val="20"/>
          <w:highlight w:val="none"/>
        </w:rPr>
      </w:pPr>
      <w:r>
        <w:rPr>
          <w:rFonts w:hint="eastAsia" w:ascii="方正黑体_GBK" w:hAnsi="方正黑体_GBK" w:eastAsia="方正黑体_GBK"/>
          <w:color w:val="3D3D3D"/>
          <w:kern w:val="0"/>
          <w:sz w:val="20"/>
          <w:szCs w:val="20"/>
          <w:highlight w:val="none"/>
          <w:lang w:eastAsia="zh-CN"/>
        </w:rPr>
        <w:t xml:space="preserve">     2.销售</w:t>
      </w:r>
      <w:r>
        <w:rPr>
          <w:rFonts w:hint="eastAsia" w:ascii="方正黑体_GBK" w:hAnsi="方正黑体_GBK" w:eastAsia="方正黑体_GBK"/>
          <w:color w:val="3D3D3D"/>
          <w:kern w:val="0"/>
          <w:sz w:val="20"/>
          <w:szCs w:val="20"/>
          <w:highlight w:val="none"/>
        </w:rPr>
        <w:t>机构：指</w:t>
      </w:r>
      <w:r>
        <w:rPr>
          <w:rFonts w:hint="eastAsia" w:ascii="方正黑体_GBK" w:hAnsi="方正黑体_GBK" w:eastAsia="方正黑体_GBK"/>
          <w:color w:val="3D3D3D"/>
          <w:kern w:val="0"/>
          <w:sz w:val="20"/>
          <w:szCs w:val="20"/>
          <w:highlight w:val="none"/>
          <w:lang w:eastAsia="zh-CN"/>
        </w:rPr>
        <w:t>本</w:t>
      </w:r>
      <w:r>
        <w:rPr>
          <w:rFonts w:hint="eastAsia" w:ascii="方正黑体_GBK" w:hAnsi="方正黑体_GBK" w:eastAsia="方正黑体_GBK"/>
          <w:color w:val="3D3D3D"/>
          <w:kern w:val="0"/>
          <w:sz w:val="20"/>
          <w:szCs w:val="20"/>
          <w:highlight w:val="none"/>
        </w:rPr>
        <w:t>理财产品的销售机构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包括</w:t>
      </w:r>
      <w:r>
        <w:rPr>
          <w:rFonts w:hint="eastAsia" w:ascii="方正黑体_GBK" w:hAnsi="方正黑体_GBK" w:eastAsia="方正黑体_GBK"/>
          <w:color w:val="3D3D3D"/>
          <w:kern w:val="0"/>
          <w:sz w:val="20"/>
          <w:szCs w:val="20"/>
          <w:highlight w:val="none"/>
        </w:rPr>
        <w:t>销售本公司发行理财产品的理财公司</w:t>
      </w:r>
      <w:r>
        <w:rPr>
          <w:rFonts w:hint="eastAsia" w:ascii="方正黑体_GBK" w:hAnsi="方正黑体_GBK" w:eastAsia="方正黑体_GBK"/>
          <w:color w:val="3D3D3D"/>
          <w:kern w:val="0"/>
          <w:sz w:val="20"/>
          <w:szCs w:val="20"/>
          <w:highlight w:val="none"/>
          <w:lang w:val="en-US" w:eastAsia="zh-CN"/>
        </w:rPr>
        <w:t>即南银理财，以及</w:t>
      </w:r>
      <w:r>
        <w:rPr>
          <w:rFonts w:hint="eastAsia" w:ascii="方正黑体_GBK" w:hAnsi="方正黑体_GBK" w:eastAsia="方正黑体_GBK"/>
          <w:color w:val="3D3D3D"/>
          <w:kern w:val="0"/>
          <w:sz w:val="20"/>
          <w:szCs w:val="20"/>
          <w:highlight w:val="none"/>
        </w:rPr>
        <w:t>接受</w:t>
      </w:r>
      <w:r>
        <w:rPr>
          <w:rFonts w:hint="eastAsia" w:ascii="方正黑体_GBK" w:hAnsi="方正黑体_GBK" w:eastAsia="方正黑体_GBK"/>
          <w:color w:val="3D3D3D"/>
          <w:kern w:val="0"/>
          <w:sz w:val="20"/>
          <w:szCs w:val="20"/>
          <w:highlight w:val="none"/>
          <w:lang w:val="en-US" w:eastAsia="zh-CN"/>
        </w:rPr>
        <w:t>南银理财</w:t>
      </w:r>
      <w:r>
        <w:rPr>
          <w:rFonts w:hint="eastAsia" w:ascii="方正黑体_GBK" w:hAnsi="方正黑体_GBK" w:eastAsia="方正黑体_GBK"/>
          <w:color w:val="3D3D3D"/>
          <w:kern w:val="0"/>
          <w:sz w:val="20"/>
          <w:szCs w:val="20"/>
          <w:highlight w:val="none"/>
        </w:rPr>
        <w:t>委托销售其发行理财产品的代理销售机构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代销机构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rPr>
        <w:t>。</w:t>
      </w:r>
    </w:p>
    <w:p w14:paraId="147C8CC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3.托管人：</w:t>
      </w:r>
      <w:r>
        <w:rPr>
          <w:rFonts w:hint="eastAsia" w:ascii="方正黑体_GBK" w:hAnsi="方正黑体_GBK" w:eastAsia="方正黑体_GBK"/>
          <w:color w:val="3D3D3D"/>
          <w:kern w:val="0"/>
          <w:sz w:val="20"/>
          <w:szCs w:val="20"/>
          <w:highlight w:val="none"/>
        </w:rPr>
        <w:t>指根据管理人委托，对理财产品财产进行托管的机构</w:t>
      </w:r>
      <w:r>
        <w:rPr>
          <w:rFonts w:ascii="方正黑体_GBK" w:hAnsi="方正黑体_GBK" w:eastAsia="方正黑体_GBK"/>
          <w:color w:val="3D3D3D"/>
          <w:kern w:val="0"/>
          <w:sz w:val="20"/>
          <w:szCs w:val="20"/>
          <w:highlight w:val="none"/>
        </w:rPr>
        <w:t>。</w:t>
      </w:r>
    </w:p>
    <w:p w14:paraId="7DAEA6A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人：指在募集期</w:t>
      </w:r>
      <w:r>
        <w:rPr>
          <w:rFonts w:hint="eastAsia" w:ascii="方正黑体_GBK" w:hAnsi="方正黑体_GBK" w:eastAsia="方正黑体_GBK"/>
          <w:color w:val="3D3D3D"/>
          <w:kern w:val="0"/>
          <w:sz w:val="20"/>
          <w:szCs w:val="20"/>
          <w:highlight w:val="none"/>
        </w:rPr>
        <w:t>/开放期</w:t>
      </w:r>
      <w:r>
        <w:rPr>
          <w:rFonts w:ascii="方正黑体_GBK" w:hAnsi="方正黑体_GBK" w:eastAsia="方正黑体_GBK"/>
          <w:color w:val="3D3D3D"/>
          <w:kern w:val="0"/>
          <w:sz w:val="20"/>
          <w:szCs w:val="20"/>
          <w:highlight w:val="none"/>
        </w:rPr>
        <w:t>期间签署本理财产品销售文件并向理财产品管理人交付认购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资金的投资者。</w:t>
      </w:r>
    </w:p>
    <w:p w14:paraId="01E14BB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5.理财产品份额持有人/持有人：指其认购或申购申请，经过管理人确认认购或申购成功，从而持有理财产品份额的投资者。</w:t>
      </w:r>
    </w:p>
    <w:p w14:paraId="36BA55A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6.投资者：指购买南银理财发行的相关理财产品的符合相关法律法规及监管要求的个人或机构。</w:t>
      </w:r>
    </w:p>
    <w:p w14:paraId="252B88D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 xml:space="preserve"> 7.专业投资者：根据监管规定，指符合下列条件之一的投资者：</w:t>
      </w:r>
    </w:p>
    <w:p w14:paraId="218FAA1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1</w:t>
      </w:r>
      <w:r>
        <w:rPr>
          <w:rFonts w:hint="eastAsia" w:ascii="方正黑体_GBK" w:hAnsi="方正黑体_GBK" w:eastAsia="方正黑体_GBK"/>
          <w:color w:val="3D3D3D"/>
          <w:kern w:val="0"/>
          <w:sz w:val="20"/>
          <w:szCs w:val="20"/>
        </w:rPr>
        <w:t>）银行业金融机构、保险业金融机构、金融控股公司、证券基金期货经营机构、私募基金管理人；</w:t>
      </w:r>
    </w:p>
    <w:p w14:paraId="0A2E84A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2</w:t>
      </w:r>
      <w:r>
        <w:rPr>
          <w:rFonts w:hint="eastAsia" w:ascii="方正黑体_GBK" w:hAnsi="方正黑体_GBK" w:eastAsia="方正黑体_GBK"/>
          <w:color w:val="3D3D3D"/>
          <w:kern w:val="0"/>
          <w:sz w:val="20"/>
          <w:szCs w:val="20"/>
        </w:rPr>
        <w:t>）上述机构面向投资者发行的金融产品，信托公司管理的资产服务信托、公益慈善信托；</w:t>
      </w:r>
    </w:p>
    <w:p w14:paraId="2587566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3</w:t>
      </w:r>
      <w:r>
        <w:rPr>
          <w:rFonts w:hint="eastAsia" w:ascii="方正黑体_GBK" w:hAnsi="方正黑体_GBK" w:eastAsia="方正黑体_GBK"/>
          <w:color w:val="3D3D3D"/>
          <w:kern w:val="0"/>
          <w:sz w:val="20"/>
          <w:szCs w:val="20"/>
        </w:rPr>
        <w:t>）社会保障基金、企业年金、职业年金等养老基金，慈善基金等社会公益基金，合格境外机构投资者（</w:t>
      </w:r>
      <w:r>
        <w:rPr>
          <w:rFonts w:ascii="方正黑体_GBK" w:hAnsi="方正黑体_GBK" w:eastAsia="方正黑体_GBK"/>
          <w:color w:val="3D3D3D"/>
          <w:kern w:val="0"/>
          <w:sz w:val="20"/>
          <w:szCs w:val="20"/>
        </w:rPr>
        <w:t>QFII</w:t>
      </w:r>
      <w:r>
        <w:rPr>
          <w:rFonts w:hint="eastAsia" w:ascii="方正黑体_GBK" w:hAnsi="方正黑体_GBK" w:eastAsia="方正黑体_GBK"/>
          <w:color w:val="3D3D3D"/>
          <w:kern w:val="0"/>
          <w:sz w:val="20"/>
          <w:szCs w:val="20"/>
        </w:rPr>
        <w:t>）、人民币合格境外机构投资者（</w:t>
      </w:r>
      <w:r>
        <w:rPr>
          <w:rFonts w:ascii="方正黑体_GBK" w:hAnsi="方正黑体_GBK" w:eastAsia="方正黑体_GBK"/>
          <w:color w:val="3D3D3D"/>
          <w:kern w:val="0"/>
          <w:sz w:val="20"/>
          <w:szCs w:val="20"/>
        </w:rPr>
        <w:t>RQFII</w:t>
      </w:r>
      <w:r>
        <w:rPr>
          <w:rFonts w:hint="eastAsia" w:ascii="方正黑体_GBK" w:hAnsi="方正黑体_GBK" w:eastAsia="方正黑体_GBK"/>
          <w:color w:val="3D3D3D"/>
          <w:kern w:val="0"/>
          <w:sz w:val="20"/>
          <w:szCs w:val="20"/>
        </w:rPr>
        <w:t>）。</w:t>
      </w:r>
    </w:p>
    <w:p w14:paraId="4932799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lang w:val="en-US" w:eastAsia="zh-CN"/>
        </w:rPr>
        <w:t xml:space="preserve"> 8.普通投资者：专业投资者之外的投资者为普通投资者</w:t>
      </w:r>
    </w:p>
    <w:p w14:paraId="1816FC47">
      <w:pPr>
        <w:pStyle w:val="44"/>
        <w:keepNext w:val="0"/>
        <w:keepLines w:val="0"/>
        <w:pageBreakBefore w:val="0"/>
        <w:widowControl/>
        <w:numPr>
          <w:ilvl w:val="0"/>
          <w:numId w:val="1"/>
        </w:numPr>
        <w:suppressLineNumbers w:val="0"/>
        <w:suppressAutoHyphens w:val="0"/>
        <w:spacing w:line="240" w:lineRule="auto"/>
        <w:ind w:left="0" w:firstLine="289"/>
        <w:outlineLvl w:val="1"/>
        <w:rPr>
          <w:rFonts w:hint="eastAsia" w:ascii="方正黑体_GBK" w:hAnsi="方正黑体_GBK" w:eastAsia="方正黑体_GBK"/>
          <w:color w:val="3D3D3D"/>
          <w:kern w:val="0"/>
          <w:sz w:val="20"/>
          <w:szCs w:val="20"/>
        </w:rPr>
      </w:pPr>
      <w:r>
        <w:rPr>
          <w:rFonts w:hint="eastAsia" w:ascii="方正黑体_GBK" w:hAnsi="方正黑体_GBK" w:eastAsia="方正黑体_GBK"/>
          <w:color w:val="3D3D3D"/>
          <w:kern w:val="0"/>
          <w:sz w:val="20"/>
          <w:szCs w:val="20"/>
        </w:rPr>
        <w:t>法律文件用语</w:t>
      </w:r>
    </w:p>
    <w:p w14:paraId="4696F5E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1.销售协议书：指本理财产品对应的《理财产品销售协议书》以及对该文件的有效修改或补充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4FA7042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2.产品说明书/本理财产品说明书：指本《理财产品说明书》以及对</w:t>
      </w:r>
      <w:r>
        <w:rPr>
          <w:rFonts w:hint="eastAsia" w:ascii="方正黑体_GBK" w:hAnsi="方正黑体_GBK" w:eastAsia="方正黑体_GBK"/>
          <w:color w:val="3D3D3D"/>
          <w:kern w:val="0"/>
          <w:sz w:val="20"/>
          <w:szCs w:val="20"/>
          <w:highlight w:val="none"/>
          <w:lang w:eastAsia="zh-CN"/>
        </w:rPr>
        <w:t>该文件</w:t>
      </w:r>
      <w:r>
        <w:rPr>
          <w:rFonts w:ascii="方正黑体_GBK" w:hAnsi="方正黑体_GBK" w:eastAsia="方正黑体_GBK"/>
          <w:color w:val="3D3D3D"/>
          <w:kern w:val="0"/>
          <w:sz w:val="20"/>
          <w:szCs w:val="20"/>
          <w:highlight w:val="none"/>
        </w:rPr>
        <w:t>的有效修改或补充。</w:t>
      </w:r>
    </w:p>
    <w:p w14:paraId="4EDC8D3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3.风险揭示书：指本理财产品对应的《理财产品风险揭示书》以及对该文件的有效修改或补充。</w:t>
      </w:r>
    </w:p>
    <w:p w14:paraId="4E889E5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4.投资者权益须知：指本理财产品对应的《投资者权益须知》以及对该文件的有效修改或补充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6995BA6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5.投资协议书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指本理财产品对应的《理财产品投资协议书》以及对该文件的有效修改或补充。</w:t>
      </w:r>
    </w:p>
    <w:p w14:paraId="2AA7D70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6.销售文件：指本理财产品对应的产品说明书、风险揭示书、投资者权益须知</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销售协议书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投资协议书等。</w:t>
      </w:r>
      <w:r>
        <w:rPr>
          <w:rFonts w:ascii="方正黑体_GBK" w:hAnsi="方正黑体_GBK" w:eastAsia="方正黑体_GBK"/>
          <w:bCs/>
          <w:color w:val="3D3D3D"/>
          <w:kern w:val="0"/>
          <w:sz w:val="20"/>
          <w:szCs w:val="20"/>
          <w:highlight w:val="none"/>
        </w:rPr>
        <w:t>上述文件共同构成本理财产品完整且不可分割的销售文件。</w:t>
      </w:r>
    </w:p>
    <w:p w14:paraId="52E142EF">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期间与日期</w:t>
      </w:r>
    </w:p>
    <w:p w14:paraId="6D20C62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1.募集期：指管理人确定的接受投资者认购本理财产品的起止期限。</w:t>
      </w:r>
    </w:p>
    <w:p w14:paraId="11FBCDF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2.开放期：指管理人确定的除募集期外接受投资者申购、赎回本理财产品的起止期限。</w:t>
      </w:r>
    </w:p>
    <w:p w14:paraId="4799B63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3.提前终止权行使日：指管理人行使提前终止权的日期，即本理财产品被提前终止、开始停止计算收益的日期。</w:t>
      </w:r>
    </w:p>
    <w:p w14:paraId="59A04BE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4.延期终止日：指管理人根据本理财产品说明书约定延长理财产品存续期后本理财产品的终止日，即本理财产品被延期终止、开始停止计算收益的日期。</w:t>
      </w:r>
    </w:p>
    <w:p w14:paraId="3104B520">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5.认购、申购、赎回确认日：指投资者认购、申购、赎回理财产品最终确认日期。</w:t>
      </w:r>
    </w:p>
    <w:p w14:paraId="4C04233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14:paraId="6458840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7.产品存续期：指理财产品成立至终止的期间。</w:t>
      </w:r>
    </w:p>
    <w:p w14:paraId="2F3EAFA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8.名义到期日：指在管理人未对本理财产品提前终止或延期终止的情况下本理财产品的到期日期。</w:t>
      </w:r>
    </w:p>
    <w:p w14:paraId="77CB71E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到期日/终止日：指管理人实际开始停止计算本理财产品收益的日期。若本理财产品未提前终止或延期终止，则到期日/终止日即为名义到期日；若本理财产品被提前终止，则到期日/终止日为提前终止权行使日；若本理财产品被延期终止，则到期日/终止日为延期终止日。</w:t>
      </w:r>
    </w:p>
    <w:p w14:paraId="2F0BC8C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10.工作日：指除国家法定节假日和休息日（包括周六、周日）外的日期。</w:t>
      </w:r>
    </w:p>
    <w:p w14:paraId="2957E5D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11.交易日：指上海证券交易所和深圳证券交易所的正常开盘交易日。</w:t>
      </w:r>
    </w:p>
    <w:p w14:paraId="4911F5B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12.支付日：指根据本理财产品说明书约定向销售文件约定的投资者授权指定账户划付理财产品资金之日。</w:t>
      </w:r>
    </w:p>
    <w:p w14:paraId="54083BE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13.赎回或到期清算分配资金到账日：指赎回或到期清算分配资金划入销售文件约定的投资者授权指定账户之日。</w:t>
      </w:r>
    </w:p>
    <w:p w14:paraId="2C62731D">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理财产品用语</w:t>
      </w:r>
    </w:p>
    <w:p w14:paraId="2A97EBA2">
      <w:pPr>
        <w:pStyle w:val="44"/>
        <w:keepNext w:val="0"/>
        <w:keepLines w:val="0"/>
        <w:pageBreakBefore w:val="0"/>
        <w:widowControl/>
        <w:suppressLineNumbers w:val="0"/>
        <w:tabs>
          <w:tab w:val="left" w:pos="567"/>
        </w:tabs>
        <w:suppressAutoHyphens w:val="0"/>
        <w:spacing w:line="240" w:lineRule="auto"/>
        <w:ind w:left="289" w:firstLine="0"/>
        <w:rPr>
          <w:rFonts w:ascii="方正黑体_GBK" w:hAnsi="方正黑体_GBK" w:eastAsia="方正黑体_GBK"/>
          <w:vanish w:val="0"/>
          <w:color w:val="3D3D3D"/>
          <w:kern w:val="0"/>
          <w:sz w:val="20"/>
          <w:szCs w:val="20"/>
        </w:rPr>
      </w:pPr>
      <w:r>
        <w:rPr>
          <w:rFonts w:ascii="方正黑体_GBK" w:hAnsi="方正黑体_GBK" w:eastAsia="方正黑体_GBK"/>
          <w:color w:val="3D3D3D"/>
          <w:kern w:val="0"/>
          <w:sz w:val="20"/>
          <w:szCs w:val="20"/>
          <w:highlight w:val="none"/>
        </w:rPr>
        <w:t xml:space="preserve"> 1.本理财产品/理财产品：</w:t>
      </w:r>
      <w:r>
        <w:rPr>
          <w:rFonts w:hint="eastAsia" w:ascii="方正黑体_GBK" w:hAnsi="方正黑体_GBK" w:eastAsia="方正黑体_GBK" w:cs="Times New Roman"/>
          <w:vanish w:val="0"/>
          <w:color w:val="3D3D3D"/>
          <w:kern w:val="0"/>
          <w:sz w:val="20"/>
          <w:szCs w:val="20"/>
        </w:rPr>
        <w:t xml:space="preserve"> </w:t>
      </w:r>
      <w:r>
        <w:rPr>
          <w:rFonts w:ascii="方正黑体_GBK" w:hAnsi="方正黑体_GBK" w:eastAsia="方正黑体_GBK"/>
          <w:b/>
          <w:bCs/>
          <w:caps w:val="0"/>
          <w:smallCaps w:val="0"/>
          <w:snapToGrid/>
          <w:vanish w:val="0"/>
          <w:color w:val="3D3D3D"/>
          <w:kern w:val="0"/>
          <w:sz w:val="20"/>
          <w:szCs w:val="20"/>
          <w:vertAlign w:val="baseline"/>
          <w:lang w:val="en-US" w:eastAsia="zh-CN"/>
        </w:rPr>
        <w:t>南银理财珠联璧合鑫逸稳三个月153期封闭式公募人民币理财产品</w:t>
      </w:r>
      <w:r>
        <w:rPr>
          <w:rFonts w:hint="eastAsia" w:ascii="方正黑体_GBK" w:hAnsi="方正黑体_GBK" w:eastAsia="方正黑体_GBK"/>
          <w:vanish w:val="0"/>
          <w:color w:val="3D3D3D"/>
          <w:kern w:val="0"/>
          <w:sz w:val="20"/>
          <w:szCs w:val="20"/>
        </w:rPr>
        <w:t>。</w:t>
      </w:r>
    </w:p>
    <w:p w14:paraId="5421749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2.认购金额/申购金额/投资本金：指投资者认购或申购本理财产品的本金金额。为避免疑义，认购金额/申购金额/投资本金的称谓仅为方便计算理财产品投资收益而创设的，并非对投资者投资本金不受损失的承诺。</w:t>
      </w:r>
    </w:p>
    <w:p w14:paraId="38E5FEE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3.投资收益：指投资者投资理财产品份额获得的投资收益，该收益为其获得分配的全部理财产品赎回资金或到期清算分配资金中扣除投资本金的部分。</w:t>
      </w:r>
    </w:p>
    <w:p w14:paraId="7B70B34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4.理财产品份额/产品份额：指投资者持有本理财产品的单位数额。投资者基于其所持有的理财产品单位数额享有理财产品利益、承担理财产品风险。</w:t>
      </w:r>
    </w:p>
    <w:p w14:paraId="70DF4C9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产品资产净值=产品资产总值-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14:paraId="68D04164">
      <w:pPr>
        <w:pStyle w:val="44"/>
        <w:keepNext w:val="0"/>
        <w:keepLines w:val="0"/>
        <w:pageBreakBefore w:val="0"/>
        <w:widowControl/>
        <w:suppressLineNumbers w:val="0"/>
        <w:tabs>
          <w:tab w:val="left" w:pos="567"/>
        </w:tabs>
        <w:suppressAutoHyphens w:val="0"/>
        <w:spacing w:line="240" w:lineRule="auto"/>
        <w:ind w:left="289" w:firstLine="0"/>
        <w:outlineLvl w:val="1"/>
        <w:rPr>
          <w:sz w:val="28"/>
          <w:szCs w:val="28"/>
        </w:rPr>
      </w:pPr>
      <w:r>
        <w:rPr>
          <w:rFonts w:ascii="方正黑体_GBK" w:hAnsi="方正黑体_GBK" w:eastAsia="方正黑体_GBK"/>
          <w:color w:val="3D3D3D"/>
          <w:kern w:val="0"/>
          <w:sz w:val="20"/>
          <w:szCs w:val="20"/>
          <w:highlight w:val="none"/>
        </w:rPr>
        <w:t xml:space="preserve"> 6.单位净值/产品每份额净值：指理财产品每单位份额的净值，即每1份理财产品份额以人民币计价的价格。</w:t>
      </w:r>
      <w:r>
        <w:rPr>
          <w:rFonts w:ascii="方正黑体_GBK" w:hAnsi="方正黑体_GBK" w:eastAsia="方正黑体_GBK"/>
          <w:bCs/>
          <w:color w:val="3D3D3D"/>
          <w:kern w:val="0"/>
          <w:sz w:val="20"/>
          <w:szCs w:val="20"/>
          <w:highlight w:val="none"/>
        </w:rPr>
        <w:t>产品份额净值=产品资产净值/产品总份额。投资者按该份额净值进行理财产品认购、申购和赎回、获得到期/终止时分配。</w:t>
      </w:r>
      <w:r>
        <w:rPr>
          <w:rFonts w:ascii="方正黑体_GBK" w:hAnsi="方正黑体_GBK" w:eastAsia="方正黑体_GBK"/>
          <w:color w:val="3D3D3D"/>
          <w:kern w:val="0"/>
          <w:sz w:val="20"/>
          <w:szCs w:val="20"/>
        </w:rPr>
        <w:t>产品份额净值按去尾法保留4位小数。</w:t>
      </w:r>
    </w:p>
    <w:p w14:paraId="402D518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7.理财产品估值/估值：指计算评估理财产品资产以确定理财产品份额单位净值的过程。</w:t>
      </w:r>
    </w:p>
    <w:p w14:paraId="227ADB2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8.业绩比较基准：指管理人基于</w:t>
      </w:r>
      <w:r>
        <w:rPr>
          <w:rFonts w:hint="eastAsia" w:ascii="方正黑体_GBK" w:hAnsi="方正黑体_GBK" w:eastAsia="方正黑体_GBK"/>
          <w:color w:val="3D3D3D"/>
          <w:kern w:val="0"/>
          <w:sz w:val="20"/>
          <w:szCs w:val="20"/>
          <w:highlight w:val="none"/>
          <w:lang w:val="en-US" w:eastAsia="zh-CN"/>
        </w:rPr>
        <w:t>产品性质、投资策略、</w:t>
      </w:r>
      <w:r>
        <w:rPr>
          <w:rFonts w:ascii="方正黑体_GBK" w:hAnsi="方正黑体_GBK" w:eastAsia="方正黑体_GBK"/>
          <w:color w:val="3D3D3D"/>
          <w:kern w:val="0"/>
          <w:sz w:val="20"/>
          <w:szCs w:val="20"/>
          <w:highlight w:val="none"/>
        </w:rPr>
        <w:t>过往投资经验及对产品存续期投资市场波动的预判而对本理财产品所设定的投资目标，业绩比较基准不代表本理财产品的未来表现和实际收益，</w:t>
      </w:r>
      <w:r>
        <w:rPr>
          <w:rFonts w:hint="eastAsia" w:ascii="方正黑体_GBK" w:hAnsi="方正黑体_GBK" w:eastAsia="方正黑体_GBK"/>
          <w:color w:val="3D3D3D"/>
          <w:kern w:val="0"/>
          <w:sz w:val="20"/>
          <w:szCs w:val="20"/>
          <w:highlight w:val="none"/>
          <w:lang w:val="en-US" w:eastAsia="zh-CN"/>
        </w:rPr>
        <w:t>不构成</w:t>
      </w:r>
      <w:r>
        <w:rPr>
          <w:rFonts w:ascii="方正黑体_GBK" w:hAnsi="方正黑体_GBK" w:eastAsia="方正黑体_GBK"/>
          <w:color w:val="3D3D3D"/>
          <w:kern w:val="0"/>
          <w:sz w:val="20"/>
          <w:szCs w:val="20"/>
          <w:highlight w:val="none"/>
        </w:rPr>
        <w:t>管理人对本理财产品收益</w:t>
      </w:r>
      <w:r>
        <w:rPr>
          <w:rFonts w:hint="eastAsia" w:ascii="方正黑体_GBK" w:hAnsi="方正黑体_GBK" w:eastAsia="方正黑体_GBK"/>
          <w:color w:val="3D3D3D"/>
          <w:kern w:val="0"/>
          <w:sz w:val="20"/>
          <w:szCs w:val="20"/>
          <w:highlight w:val="none"/>
          <w:lang w:val="en-US" w:eastAsia="zh-CN"/>
        </w:rPr>
        <w:t>的</w:t>
      </w:r>
      <w:r>
        <w:rPr>
          <w:rFonts w:ascii="方正黑体_GBK" w:hAnsi="方正黑体_GBK" w:eastAsia="方正黑体_GBK"/>
          <w:color w:val="3D3D3D"/>
          <w:kern w:val="0"/>
          <w:sz w:val="20"/>
          <w:szCs w:val="20"/>
          <w:highlight w:val="none"/>
        </w:rPr>
        <w:t>承诺。</w:t>
      </w:r>
    </w:p>
    <w:p w14:paraId="7B618C3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9.认购：指投资者根据产品说明书约定在募集期内申请购买本理财产品的理财产品份额的行为。</w:t>
      </w:r>
    </w:p>
    <w:p w14:paraId="0FAC4CE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10.申购、赎回申请：指在理财产品的开放期内，投资者向理财产品管理人提出申请对理财产品份额进行购买或卖出的行为。</w:t>
      </w:r>
    </w:p>
    <w:p w14:paraId="25B0D09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11.提前终止/延期终止权：指在本理财产品存续期内，管理人单方面根据本理财产品销售文件的约定提前终止/延期终止本理财产品的权利。</w:t>
      </w:r>
    </w:p>
    <w:p w14:paraId="523561C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12.授权指定账户：指投资者用于支付理财产品的认购或申购资金，并用于接收理财产品分红或赎回或到期清算分配款项的银行账户。</w:t>
      </w:r>
    </w:p>
    <w:p w14:paraId="3AD4DA10">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13.固定收益类理财产品：指投资于存款、债券等债权类资产的比例不低于80%的理财产品。</w:t>
      </w:r>
    </w:p>
    <w:p w14:paraId="12F6D3D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14.权益类理财产品：指投资于权益类资产的比例不低于80%的理财产品。</w:t>
      </w:r>
    </w:p>
    <w:p w14:paraId="385DD79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15.商品及金融衍生品类理财产品：指投资于商品及金融衍生品的比例不低于80%的理财产品。</w:t>
      </w:r>
    </w:p>
    <w:p w14:paraId="5ECDC7D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16.混合类理财产品：指投资于债权类资产、权益类资产、商品及金融衍生品类资产且任一资产的投资比例</w:t>
      </w:r>
      <w:r>
        <w:rPr>
          <w:rFonts w:hint="eastAsia" w:ascii="方正黑体_GBK" w:hAnsi="方正黑体_GBK" w:eastAsia="方正黑体_GBK"/>
          <w:color w:val="3D3D3D"/>
          <w:kern w:val="0"/>
          <w:sz w:val="20"/>
          <w:szCs w:val="20"/>
        </w:rPr>
        <w:t>均</w:t>
      </w:r>
      <w:r>
        <w:rPr>
          <w:rFonts w:ascii="方正黑体_GBK" w:hAnsi="方正黑体_GBK" w:eastAsia="方正黑体_GBK"/>
          <w:color w:val="3D3D3D"/>
          <w:kern w:val="0"/>
          <w:sz w:val="20"/>
          <w:szCs w:val="20"/>
        </w:rPr>
        <w:t>未达到80%的理财产品。</w:t>
      </w:r>
    </w:p>
    <w:p w14:paraId="0F633B5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17.公募理财产品：指面向不特定社会公众公开发行的理财产品。</w:t>
      </w:r>
    </w:p>
    <w:p w14:paraId="34DD43E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18.私募理财产品：指面向合格投资者非公开发行的理财产品。</w:t>
      </w:r>
    </w:p>
    <w:p w14:paraId="400A1A53">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其他</w:t>
      </w:r>
    </w:p>
    <w:p w14:paraId="1D74CC7D">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1.不可抗力：指理财产品各方不能预见、不能避免且不能克服的客观情况，该事件妨碍、影响或延误任何一方依相关理财产品销售文件的约定履行其全部或部分义务。该事件包括但不限于：</w:t>
      </w:r>
    </w:p>
    <w:p w14:paraId="2A1F027C">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自然灾害、地震、台风、海啸、洪水、火灾、停电、突发性公共卫生事件；</w:t>
      </w:r>
    </w:p>
    <w:p w14:paraId="590B083A">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罢工、内战、战争、军事行动、任何种类的恐怖活动、暴动、公众示威或抗议；</w:t>
      </w:r>
    </w:p>
    <w:p w14:paraId="463380F7">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新的适用法律或国家政策的颁布或实施、对原适用法律或国家政策的修改；</w:t>
      </w:r>
    </w:p>
    <w:p w14:paraId="3DA097DB">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任何政府机关或其他机关的行为</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不论是在法律上或是在事实上</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、法律、法规、条例、规则、规定、裁决、命令或指令（包括国有化或对外限制、外汇管制）、诉讼或威胁；</w:t>
      </w:r>
    </w:p>
    <w:p w14:paraId="649F8487">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中国</w:t>
      </w:r>
      <w:r>
        <w:rPr>
          <w:rFonts w:hint="eastAsia" w:ascii="方正黑体_GBK" w:hAnsi="方正黑体_GBK" w:eastAsia="方正黑体_GBK"/>
          <w:color w:val="3D3D3D"/>
          <w:kern w:val="0"/>
          <w:sz w:val="20"/>
          <w:szCs w:val="20"/>
          <w:highlight w:val="none"/>
        </w:rPr>
        <w:t>境内</w:t>
      </w:r>
      <w:r>
        <w:rPr>
          <w:rFonts w:ascii="方正黑体_GBK" w:hAnsi="方正黑体_GBK" w:eastAsia="方正黑体_GBK"/>
          <w:color w:val="3D3D3D"/>
          <w:kern w:val="0"/>
          <w:sz w:val="20"/>
          <w:szCs w:val="20"/>
          <w:highlight w:val="none"/>
        </w:rPr>
        <w:t>或全球金融外汇市场发生致使无法进行货币兑换、划转等的异常变化；</w:t>
      </w:r>
    </w:p>
    <w:p w14:paraId="2AEC52FA">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因理财产品各方和/或其关联方运营网络系统遭受黑客攻击、电信部门技术调整或故障等原因而造成的理财产品各方和/或其关联方之服务、营业的中断或者延迟。</w:t>
      </w:r>
    </w:p>
    <w:p w14:paraId="7197A834">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2.中国：指中华人民共和国（为本理财产品销售文件之目的，不包括香港特别行政区、澳门特别行政区和台湾地区）。</w:t>
      </w:r>
    </w:p>
    <w:p w14:paraId="2B56CDC3">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3.元：指人民币元。</w:t>
      </w:r>
    </w:p>
    <w:p w14:paraId="3E0ABF78">
      <w:pPr>
        <w:pStyle w:val="44"/>
        <w:keepNext w:val="0"/>
        <w:keepLines w:val="0"/>
        <w:pageBreakBefore w:val="0"/>
        <w:widowControl/>
        <w:suppressLineNumbers w:val="0"/>
        <w:tabs>
          <w:tab w:val="left" w:pos="567"/>
        </w:tabs>
        <w:suppressAutoHyphens w:val="0"/>
        <w:spacing w:line="240" w:lineRule="auto"/>
        <w:ind w:left="289" w:firstLine="0"/>
        <w:rPr>
          <w:rFonts w:hint="eastAsia" w:ascii="方正黑体_GBK" w:hAnsi="方正黑体_GBK" w:eastAsia="方正黑体_GBK"/>
          <w:color w:val="3D3D3D"/>
          <w:kern w:val="0"/>
          <w:sz w:val="20"/>
          <w:szCs w:val="20"/>
          <w:lang w:val="en-US" w:eastAsia="zh-CN"/>
        </w:rPr>
      </w:pPr>
      <w:r>
        <w:rPr>
          <w:rFonts w:ascii="方正黑体_GBK" w:hAnsi="方正黑体_GBK" w:eastAsia="方正黑体_GBK"/>
          <w:color w:val="3D3D3D"/>
          <w:kern w:val="0"/>
          <w:sz w:val="20"/>
          <w:szCs w:val="20"/>
          <w:highlight w:val="none"/>
        </w:rPr>
        <w:t xml:space="preserve"> 4.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579FC6E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hint="eastAsia"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第三条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情景示例</w:t>
      </w:r>
    </w:p>
    <w:p w14:paraId="07044063">
      <w:pPr>
        <w:spacing w:line="240" w:lineRule="auto"/>
        <w:ind w:firstLine="280"/>
        <w:jc w:val="left"/>
        <w:rPr>
          <w:sz w:val="28"/>
          <w:szCs w:val="28"/>
        </w:rPr>
      </w:pPr>
      <w:r>
        <w:rPr>
          <w:rFonts w:ascii="方正黑体_GBK" w:hAnsi="方正黑体_GBK" w:eastAsia="方正黑体_GBK" w:cs="宋体"/>
          <w:sz w:val="20"/>
          <w:szCs w:val="24"/>
        </w:rPr>
        <w:t>假设：投资者投资本理财产品</w:t>
      </w:r>
      <w:r>
        <w:rPr>
          <w:rFonts w:ascii="方正黑体_GBK" w:hAnsi="方正黑体_GBK" w:eastAsia="方正黑体_GBK"/>
          <w:sz w:val="20"/>
          <w:szCs w:val="24"/>
        </w:rPr>
        <w:t>10</w:t>
      </w:r>
      <w:r>
        <w:rPr>
          <w:rFonts w:ascii="方正黑体_GBK" w:hAnsi="方正黑体_GBK" w:eastAsia="方正黑体_GBK" w:cs="宋体"/>
          <w:sz w:val="20"/>
          <w:szCs w:val="24"/>
        </w:rPr>
        <w:t>万元，成立日当日产品净值为</w:t>
      </w:r>
      <w:r>
        <w:rPr>
          <w:rFonts w:ascii="方正黑体_GBK" w:hAnsi="方正黑体_GBK" w:eastAsia="方正黑体_GBK"/>
          <w:sz w:val="20"/>
          <w:szCs w:val="24"/>
        </w:rPr>
        <w:t>1.0000</w:t>
      </w:r>
      <w:r>
        <w:rPr>
          <w:rFonts w:ascii="方正黑体_GBK" w:hAnsi="方正黑体_GBK" w:eastAsia="方正黑体_GBK" w:cs="宋体"/>
          <w:sz w:val="20"/>
          <w:szCs w:val="24"/>
        </w:rPr>
        <w:t>元，折算份额</w:t>
      </w:r>
      <w:r>
        <w:rPr>
          <w:rFonts w:ascii="方正黑体_GBK" w:hAnsi="方正黑体_GBK" w:eastAsia="方正黑体_GBK"/>
          <w:sz w:val="20"/>
          <w:szCs w:val="24"/>
        </w:rPr>
        <w:t>100,000</w:t>
      </w:r>
      <w:r>
        <w:rPr>
          <w:rFonts w:ascii="方正黑体_GBK" w:hAnsi="方正黑体_GBK" w:eastAsia="方正黑体_GBK" w:cs="宋体"/>
          <w:sz w:val="20"/>
          <w:szCs w:val="24"/>
        </w:rPr>
        <w:t>份。</w:t>
      </w:r>
    </w:p>
    <w:p w14:paraId="5A4F9CD5">
      <w:pPr>
        <w:spacing w:line="240" w:lineRule="auto"/>
        <w:ind w:firstLine="280"/>
        <w:jc w:val="left"/>
        <w:rPr>
          <w:sz w:val="28"/>
          <w:szCs w:val="28"/>
        </w:rPr>
      </w:pPr>
      <w:r>
        <w:rPr>
          <w:rFonts w:ascii="方正黑体_GBK" w:hAnsi="方正黑体_GBK" w:eastAsia="方正黑体_GBK" w:cs="宋体"/>
          <w:sz w:val="20"/>
          <w:szCs w:val="24"/>
        </w:rPr>
        <w:t>情景示例一：产品实际到期日，扣除所有税费后（如有业绩报酬，已扣除）的期末产品每份额净值为</w:t>
      </w:r>
      <w:r>
        <w:rPr>
          <w:rFonts w:ascii="方正黑体_GBK" w:hAnsi="方正黑体_GBK" w:eastAsia="方正黑体_GBK"/>
          <w:sz w:val="20"/>
          <w:szCs w:val="24"/>
        </w:rPr>
        <w:t>1.0300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103,000</w:t>
      </w:r>
      <w:r>
        <w:rPr>
          <w:rFonts w:ascii="方正黑体_GBK" w:hAnsi="方正黑体_GBK" w:eastAsia="方正黑体_GBK" w:cs="宋体"/>
          <w:sz w:val="20"/>
          <w:szCs w:val="24"/>
        </w:rPr>
        <w:t>元。</w:t>
      </w:r>
    </w:p>
    <w:p w14:paraId="62F4C5EA">
      <w:pPr>
        <w:spacing w:line="240" w:lineRule="auto"/>
        <w:ind w:firstLine="280"/>
        <w:jc w:val="left"/>
        <w:rPr>
          <w:sz w:val="28"/>
          <w:szCs w:val="28"/>
        </w:rPr>
      </w:pPr>
      <w:r>
        <w:rPr>
          <w:rFonts w:ascii="方正黑体_GBK" w:hAnsi="方正黑体_GBK" w:eastAsia="方正黑体_GBK" w:cs="宋体"/>
          <w:sz w:val="20"/>
          <w:szCs w:val="24"/>
        </w:rPr>
        <w:t>情景示例二：产品实际到期日，扣除所有税费后（如有业绩报酬，已扣除）的期末产品每份额净值为</w:t>
      </w:r>
      <w:r>
        <w:rPr>
          <w:rFonts w:ascii="方正黑体_GBK" w:hAnsi="方正黑体_GBK" w:eastAsia="方正黑体_GBK"/>
          <w:sz w:val="20"/>
          <w:szCs w:val="24"/>
        </w:rPr>
        <w:t>0.9700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97,000</w:t>
      </w:r>
      <w:r>
        <w:rPr>
          <w:rFonts w:ascii="方正黑体_GBK" w:hAnsi="方正黑体_GBK" w:eastAsia="方正黑体_GBK" w:cs="宋体"/>
          <w:sz w:val="20"/>
          <w:szCs w:val="24"/>
        </w:rPr>
        <w:t>元。</w:t>
      </w:r>
      <w:r>
        <w:rPr>
          <w:rFonts w:ascii="方正黑体_GBK" w:hAnsi="方正黑体_GBK" w:eastAsia="方正黑体_GBK" w:cs="宋体"/>
          <w:color w:val="000000"/>
          <w:sz w:val="20"/>
          <w:szCs w:val="24"/>
        </w:rPr>
        <w:t>以上数据为假设情形中的模拟数据，不代表实际收益，投资须谨慎。</w:t>
      </w:r>
    </w:p>
    <w:p w14:paraId="3369F3D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hint="eastAsia" w:ascii="方正黑体_GBK" w:hAnsi="方正黑体_GBK" w:eastAsia="方正黑体_GBK"/>
          <w:vanish w:val="0"/>
          <w:sz w:val="20"/>
          <w:szCs w:val="20"/>
        </w:rPr>
      </w:pPr>
      <w:r>
        <w:rPr>
          <w:rFonts w:hint="eastAsia" w:ascii="方正黑体_GBK" w:hAnsi="方正黑体_GBK" w:eastAsia="方正黑体_GBK"/>
          <w:b/>
          <w:bCs/>
          <w:vanish w:val="0"/>
          <w:color w:val="auto"/>
          <w:kern w:val="0"/>
          <w:sz w:val="20"/>
          <w:szCs w:val="20"/>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14:paraId="3F29571B">
      <w:pPr>
        <w:pStyle w:val="29"/>
        <w:keepNext w:val="0"/>
        <w:keepLines w:val="0"/>
        <w:pageBreakBefore w:val="0"/>
        <w:widowControl/>
        <w:suppressLineNumbers w:val="0"/>
        <w:suppressAutoHyphens w:val="0"/>
        <w:spacing w:line="240" w:lineRule="auto"/>
        <w:ind w:firstLine="400" w:firstLineChars="200"/>
        <w:rPr>
          <w:rFonts w:hint="eastAsia" w:ascii="方正黑体_GBK" w:hAnsi="方正黑体_GBK" w:eastAsia="方正黑体_GBK"/>
          <w:sz w:val="24"/>
          <w:szCs w:val="24"/>
          <w:lang w:val="en-US" w:eastAsia="zh-CN"/>
        </w:rPr>
      </w:pPr>
      <w:r>
        <w:rPr>
          <w:rFonts w:hint="eastAsia" w:ascii="方正黑体_GBK" w:hAnsi="方正黑体_GBK" w:eastAsia="方正黑体_GBK"/>
          <w:b/>
          <w:bCs/>
          <w:vanish w:val="0"/>
          <w:kern w:val="0"/>
          <w:sz w:val="20"/>
          <w:szCs w:val="20"/>
        </w:rPr>
        <w:t>风险提示：如出现本理财产品所投资的资产或资产组合项下义务人出现无法兑付本金等极端情况，产品运作到期后投资者可能无收益，并可能损失全部本金。</w:t>
      </w:r>
    </w:p>
    <w:p w14:paraId="09E2498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l="0"/>
          <w:vanish w:val="0"/>
          <w:color w:val="auto"/>
          <w:kern w:val="0"/>
          <w:sz w:val="20"/>
          <w:szCs w:val="20"/>
        </w:rPr>
      </w:pPr>
      <w:r>
        <w:rPr>
          <w:rFonts w:hint="eastAsia" w:ascii="方正黑体_GBK" w:hAnsi="方正黑体_GBK" w:eastAsia="方正黑体_GBK"/>
          <w:b/>
          <w:bCs/>
          <w:vanish w:val="0"/>
          <w:color w:val="auto"/>
          <w:kern w:val="0"/>
          <w:sz w:val="20"/>
          <w:szCs w:val="20"/>
        </w:rPr>
        <w:t>第四</w:t>
      </w:r>
      <w:r>
        <w:rPr>
          <w:rFonts w:hint="eastAsia" w:ascii="方正黑体_GBK" w:hAnsi="方正黑体_GBK" w:eastAsia="方正黑体_GBK"/>
          <w:b/>
          <w:bCs w:val="0"/>
          <w:vanish w:val="0"/>
          <w:color w:val="auto"/>
          <w:kern w:val="0"/>
          <w:sz w:val="20"/>
          <w:szCs w:val="20"/>
        </w:rPr>
        <w:t>条</w:t>
      </w:r>
      <w:r>
        <w:rPr>
          <w:rFonts w:hint="eastAsia" w:ascii="方正黑体_GBK" w:hAnsi="方正黑体_GBK" w:eastAsia="方正黑体_GBK" w:cs="Times New Roman"/>
          <w:b/>
          <w:bCs w:val="0"/>
          <w:vanish w:val="0"/>
          <w:color w:val="auto"/>
          <w:kern w:val="0"/>
          <w:sz w:val="20"/>
          <w:szCs w:val="20"/>
        </w:rPr>
        <w:t xml:space="preserve">  </w:t>
      </w:r>
      <w:r>
        <w:rPr>
          <w:rFonts w:hint="eastAsia" w:ascii="方正黑体_GBK" w:hAnsi="方正黑体_GBK" w:eastAsia="方正黑体_GBK"/>
          <w:b/>
          <w:bCs w:val="0"/>
          <w:vanish w:val="0"/>
          <w:color w:val="auto"/>
          <w:kern w:val="0"/>
          <w:sz w:val="20"/>
          <w:szCs w:val="20"/>
        </w:rPr>
        <w:t>理财产品估值</w:t>
      </w:r>
    </w:p>
    <w:p w14:paraId="6AF58385">
      <w:pPr>
        <w:spacing w:line="240" w:lineRule="auto"/>
        <w:ind w:firstLine="300"/>
        <w:jc w:val="both"/>
        <w:rPr>
          <w:sz w:val="28"/>
          <w:szCs w:val="28"/>
        </w:rPr>
      </w:pPr>
      <w:r>
        <w:rPr>
          <w:rFonts w:ascii="方正黑体_GBK" w:hAnsi="方正黑体_GBK" w:eastAsia="方正黑体_GBK" w:cs="宋体"/>
          <w:sz w:val="20"/>
          <w:szCs w:val="24"/>
        </w:rPr>
        <w:t>（一）估值日</w:t>
      </w:r>
    </w:p>
    <w:p w14:paraId="031218CD">
      <w:pPr>
        <w:spacing w:line="240" w:lineRule="auto"/>
        <w:ind w:firstLine="300"/>
        <w:jc w:val="both"/>
        <w:rPr>
          <w:sz w:val="28"/>
          <w:szCs w:val="28"/>
        </w:rPr>
      </w:pPr>
      <w:r>
        <w:rPr>
          <w:rFonts w:ascii="方正黑体_GBK" w:hAnsi="方正黑体_GBK" w:eastAsia="方正黑体_GBK" w:cs="宋体"/>
          <w:sz w:val="20"/>
          <w:szCs w:val="24"/>
        </w:rPr>
        <w:t>本理财产品每个工作日进行估值。</w:t>
      </w:r>
    </w:p>
    <w:p w14:paraId="58F4457A">
      <w:pPr>
        <w:spacing w:line="240" w:lineRule="auto"/>
        <w:ind w:firstLine="300"/>
        <w:jc w:val="both"/>
        <w:rPr>
          <w:sz w:val="28"/>
          <w:szCs w:val="28"/>
        </w:rPr>
      </w:pPr>
      <w:r>
        <w:rPr>
          <w:rFonts w:ascii="方正黑体_GBK" w:hAnsi="方正黑体_GBK" w:eastAsia="方正黑体_GBK" w:cs="宋体"/>
          <w:sz w:val="20"/>
          <w:szCs w:val="24"/>
        </w:rPr>
        <w:t>（二）估值对象</w:t>
      </w:r>
    </w:p>
    <w:p w14:paraId="185F3545">
      <w:pPr>
        <w:spacing w:line="240" w:lineRule="auto"/>
        <w:ind w:firstLine="300"/>
        <w:jc w:val="both"/>
        <w:rPr>
          <w:sz w:val="28"/>
          <w:szCs w:val="28"/>
        </w:rPr>
      </w:pPr>
      <w:r>
        <w:rPr>
          <w:rFonts w:ascii="方正黑体_GBK" w:hAnsi="方正黑体_GBK" w:eastAsia="方正黑体_GBK" w:cs="宋体"/>
          <w:sz w:val="20"/>
          <w:szCs w:val="24"/>
        </w:rPr>
        <w:t>本理财产品所拥有的所有资产及负债。</w:t>
      </w:r>
    </w:p>
    <w:p w14:paraId="7E125E71">
      <w:pPr>
        <w:spacing w:line="240" w:lineRule="auto"/>
        <w:ind w:firstLine="300"/>
        <w:jc w:val="both"/>
        <w:rPr>
          <w:sz w:val="28"/>
          <w:szCs w:val="28"/>
        </w:rPr>
      </w:pPr>
      <w:r>
        <w:rPr>
          <w:rFonts w:ascii="方正黑体_GBK" w:hAnsi="方正黑体_GBK" w:eastAsia="方正黑体_GBK" w:cs="宋体"/>
          <w:sz w:val="20"/>
          <w:szCs w:val="24"/>
        </w:rPr>
        <w:t>（三）估值目的</w:t>
      </w:r>
    </w:p>
    <w:p w14:paraId="6DB0DF94">
      <w:pPr>
        <w:spacing w:line="240" w:lineRule="auto"/>
        <w:ind w:firstLine="300"/>
        <w:jc w:val="both"/>
        <w:rPr>
          <w:sz w:val="28"/>
          <w:szCs w:val="28"/>
        </w:rPr>
      </w:pPr>
      <w:r>
        <w:rPr>
          <w:rFonts w:ascii="方正黑体_GBK" w:hAnsi="方正黑体_GBK" w:eastAsia="方正黑体_GBK" w:cs="宋体"/>
          <w:sz w:val="20"/>
          <w:szCs w:val="24"/>
        </w:rPr>
        <w:t>客观、准确反映理财产品的价值。</w:t>
      </w:r>
    </w:p>
    <w:p w14:paraId="63B0B80F">
      <w:pPr>
        <w:spacing w:line="240" w:lineRule="auto"/>
        <w:ind w:firstLine="300"/>
        <w:jc w:val="both"/>
        <w:rPr>
          <w:sz w:val="28"/>
          <w:szCs w:val="28"/>
        </w:rPr>
      </w:pPr>
      <w:r>
        <w:rPr>
          <w:rFonts w:ascii="方正黑体_GBK" w:hAnsi="方正黑体_GBK" w:eastAsia="方正黑体_GBK" w:cs="宋体"/>
          <w:sz w:val="20"/>
          <w:szCs w:val="24"/>
        </w:rPr>
        <w:t>（四）估值原则</w:t>
      </w:r>
    </w:p>
    <w:p w14:paraId="7613D373">
      <w:pPr>
        <w:spacing w:line="240" w:lineRule="auto"/>
        <w:ind w:firstLine="300"/>
        <w:jc w:val="both"/>
        <w:rPr>
          <w:sz w:val="28"/>
          <w:szCs w:val="28"/>
        </w:rPr>
      </w:pPr>
      <w:r>
        <w:rPr>
          <w:rFonts w:ascii="方正黑体_GBK" w:hAnsi="方正黑体_GBK" w:eastAsia="方正黑体_GBK" w:cs="宋体"/>
          <w:sz w:val="20"/>
          <w:szCs w:val="24"/>
        </w:rPr>
        <w:t>理财产品应坚持公允价值计量原则，优先采用市值法，符合会计准则和监管规定的范围内的可选择摊余成本法计量。</w:t>
      </w:r>
    </w:p>
    <w:p w14:paraId="3B8A47DC">
      <w:pPr>
        <w:spacing w:line="240" w:lineRule="auto"/>
        <w:ind w:firstLine="300"/>
        <w:jc w:val="both"/>
        <w:rPr>
          <w:sz w:val="28"/>
          <w:szCs w:val="28"/>
        </w:rPr>
      </w:pPr>
      <w:r>
        <w:rPr>
          <w:rFonts w:ascii="方正黑体_GBK" w:hAnsi="方正黑体_GBK" w:eastAsia="方正黑体_GBK" w:cs="宋体"/>
          <w:sz w:val="20"/>
          <w:szCs w:val="24"/>
        </w:rPr>
        <w:t>（五）估值方法</w:t>
      </w:r>
    </w:p>
    <w:p w14:paraId="44827ADF">
      <w:pPr>
        <w:spacing w:line="240" w:lineRule="auto"/>
        <w:ind w:firstLine="440"/>
        <w:rPr>
          <w:sz w:val="28"/>
          <w:szCs w:val="28"/>
        </w:rPr>
      </w:pPr>
      <w:r>
        <w:rPr>
          <w:rFonts w:ascii="方正黑体_GBK" w:hAnsi="方正黑体_GBK" w:eastAsia="方正黑体_GBK" w:cs="宋体"/>
          <w:sz w:val="20"/>
          <w:szCs w:val="24"/>
        </w:rPr>
        <w:t>估值方法中列示的资产品种不代表管理人的实际投向，本理财产品拟投资范围以“投资范围”章节描述为准。</w:t>
      </w:r>
    </w:p>
    <w:p w14:paraId="38B96EA7">
      <w:pPr>
        <w:spacing w:line="240" w:lineRule="auto"/>
        <w:ind w:firstLine="440"/>
        <w:rPr>
          <w:sz w:val="28"/>
          <w:szCs w:val="28"/>
        </w:rPr>
      </w:pPr>
      <w:r>
        <w:rPr>
          <w:rFonts w:ascii="方正黑体_GBK" w:hAnsi="方正黑体_GBK" w:eastAsia="方正黑体_GBK" w:cs="宋体"/>
          <w:sz w:val="20"/>
          <w:szCs w:val="24"/>
        </w:rPr>
        <w:t>1.银行存款、回购等货币市场工具</w:t>
      </w:r>
    </w:p>
    <w:p w14:paraId="3FE4FC83">
      <w:pPr>
        <w:spacing w:line="240" w:lineRule="auto"/>
        <w:ind w:firstLine="440"/>
        <w:rPr>
          <w:sz w:val="28"/>
          <w:szCs w:val="28"/>
        </w:rPr>
      </w:pPr>
      <w:r>
        <w:rPr>
          <w:rFonts w:ascii="方正黑体_GBK" w:hAnsi="方正黑体_GBK" w:eastAsia="方正黑体_GBK" w:cs="宋体"/>
          <w:sz w:val="20"/>
          <w:szCs w:val="24"/>
        </w:rPr>
        <w:t>以本金列示，逐日计提利息。</w:t>
      </w:r>
    </w:p>
    <w:p w14:paraId="456180E3">
      <w:pPr>
        <w:spacing w:line="240" w:lineRule="auto"/>
        <w:ind w:firstLine="440"/>
        <w:rPr>
          <w:sz w:val="28"/>
          <w:szCs w:val="28"/>
        </w:rPr>
      </w:pPr>
      <w:r>
        <w:rPr>
          <w:rFonts w:ascii="方正黑体_GBK" w:hAnsi="方正黑体_GBK" w:eastAsia="方正黑体_GBK" w:cs="宋体"/>
          <w:sz w:val="20"/>
          <w:szCs w:val="24"/>
        </w:rPr>
        <w:t>2.债券类资产</w:t>
      </w:r>
    </w:p>
    <w:p w14:paraId="1055566B">
      <w:pPr>
        <w:spacing w:line="240" w:lineRule="auto"/>
        <w:ind w:firstLine="440"/>
        <w:rPr>
          <w:sz w:val="28"/>
          <w:szCs w:val="28"/>
        </w:rPr>
      </w:pPr>
      <w:r>
        <w:rPr>
          <w:rFonts w:ascii="方正黑体_GBK" w:hAnsi="方正黑体_GBK" w:eastAsia="方正黑体_GBK" w:cs="宋体"/>
          <w:sz w:val="20"/>
          <w:szCs w:val="24"/>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以摊余成本计量的金融资产”的资产按摊余成本法估值，并按照会计准则采用合理减值计量模型或第三方减值计量结果进行预期信用损失的减值计提。</w:t>
      </w:r>
    </w:p>
    <w:p w14:paraId="6184ACA0">
      <w:pPr>
        <w:spacing w:line="240" w:lineRule="auto"/>
        <w:ind w:firstLine="440"/>
        <w:rPr>
          <w:sz w:val="28"/>
          <w:szCs w:val="28"/>
        </w:rPr>
      </w:pPr>
      <w:r>
        <w:rPr>
          <w:rFonts w:ascii="方正黑体_GBK" w:hAnsi="方正黑体_GBK" w:eastAsia="方正黑体_GBK" w:cs="宋体"/>
          <w:sz w:val="20"/>
          <w:szCs w:val="24"/>
        </w:rPr>
        <w:t>3.非标准化债权类资产</w:t>
      </w:r>
    </w:p>
    <w:p w14:paraId="73DF6671">
      <w:pPr>
        <w:spacing w:line="240" w:lineRule="auto"/>
        <w:ind w:firstLine="440"/>
        <w:rPr>
          <w:sz w:val="28"/>
          <w:szCs w:val="28"/>
        </w:rPr>
      </w:pPr>
      <w:r>
        <w:rPr>
          <w:rFonts w:ascii="方正黑体_GBK" w:hAnsi="方正黑体_GBK" w:eastAsia="方正黑体_GBK" w:cs="宋体"/>
          <w:sz w:val="20"/>
          <w:szCs w:val="24"/>
        </w:rPr>
        <w:t>非标准化债权类资产按照公允价值估值，优先采用市值法估值。对于符合企业会计准则及监管规定范围内且分类为“以摊余成本计量的金融资产”的资产按摊余成本法估值，并按照会计准则采用合理减值计量模型或第三方减值计量结果进行预期信用损失的减值计提。</w:t>
      </w:r>
    </w:p>
    <w:p w14:paraId="1A88F0E8">
      <w:pPr>
        <w:spacing w:line="240" w:lineRule="auto"/>
        <w:ind w:firstLine="440"/>
        <w:rPr>
          <w:sz w:val="28"/>
          <w:szCs w:val="28"/>
        </w:rPr>
      </w:pPr>
      <w:r>
        <w:rPr>
          <w:rFonts w:ascii="方正黑体_GBK" w:hAnsi="方正黑体_GBK" w:eastAsia="方正黑体_GBK" w:cs="宋体"/>
          <w:sz w:val="20"/>
          <w:szCs w:val="24"/>
        </w:rPr>
        <w:t>4.证券投资基金、资管计划、信托计划等资产</w:t>
      </w:r>
    </w:p>
    <w:p w14:paraId="0666BD5F">
      <w:pPr>
        <w:spacing w:line="240" w:lineRule="auto"/>
        <w:ind w:firstLine="440"/>
        <w:rPr>
          <w:sz w:val="28"/>
          <w:szCs w:val="28"/>
        </w:rPr>
      </w:pPr>
      <w:r>
        <w:rPr>
          <w:rFonts w:ascii="方正黑体_GBK" w:hAnsi="方正黑体_GBK" w:eastAsia="方正黑体_GBK" w:cs="宋体"/>
          <w:sz w:val="20"/>
          <w:szCs w:val="24"/>
        </w:rPr>
        <w:t>按照公允价值估值，优先采用市值法估值。管理人将根据监管要求进行穿透管理，资管产品穿透后与理财公司关于同一投资品种的估值原则、政策、技术和方法等一致。</w:t>
      </w:r>
    </w:p>
    <w:p w14:paraId="472552DF">
      <w:pPr>
        <w:spacing w:line="240" w:lineRule="auto"/>
        <w:ind w:firstLine="440"/>
        <w:rPr>
          <w:sz w:val="28"/>
          <w:szCs w:val="28"/>
        </w:rPr>
      </w:pPr>
      <w:r>
        <w:rPr>
          <w:rFonts w:ascii="方正黑体_GBK" w:hAnsi="方正黑体_GBK" w:eastAsia="方正黑体_GBK" w:cs="宋体"/>
          <w:sz w:val="20"/>
          <w:szCs w:val="24"/>
        </w:rPr>
        <w:t>5.股权类及其他资产</w:t>
      </w:r>
    </w:p>
    <w:p w14:paraId="13E87206">
      <w:pPr>
        <w:spacing w:line="240" w:lineRule="auto"/>
        <w:ind w:firstLine="440"/>
        <w:rPr>
          <w:sz w:val="28"/>
          <w:szCs w:val="28"/>
        </w:rPr>
      </w:pPr>
      <w:r>
        <w:rPr>
          <w:rFonts w:ascii="方正黑体_GBK" w:hAnsi="方正黑体_GBK" w:eastAsia="方正黑体_GBK" w:cs="宋体"/>
          <w:sz w:val="20"/>
          <w:szCs w:val="24"/>
        </w:rPr>
        <w:t>按照公允价值估值，优先采用市值法估值。</w:t>
      </w:r>
    </w:p>
    <w:p w14:paraId="6B3BF691">
      <w:pPr>
        <w:spacing w:line="240" w:lineRule="auto"/>
        <w:ind w:firstLine="440"/>
        <w:rPr>
          <w:sz w:val="28"/>
          <w:szCs w:val="28"/>
        </w:rPr>
      </w:pPr>
      <w:r>
        <w:rPr>
          <w:rFonts w:ascii="方正黑体_GBK" w:hAnsi="方正黑体_GBK" w:eastAsia="方正黑体_GBK" w:cs="宋体"/>
          <w:sz w:val="20"/>
          <w:szCs w:val="24"/>
        </w:rPr>
        <w:t>6.如有新增事项或变更事项，按国家最新规定或监管最新要求进行调整。</w:t>
      </w:r>
    </w:p>
    <w:p w14:paraId="4C5E6A73">
      <w:pPr>
        <w:spacing w:line="240" w:lineRule="auto"/>
        <w:ind w:firstLine="300"/>
        <w:jc w:val="both"/>
        <w:rPr>
          <w:sz w:val="28"/>
          <w:szCs w:val="28"/>
        </w:rPr>
      </w:pPr>
      <w:r>
        <w:rPr>
          <w:rFonts w:ascii="方正黑体_GBK" w:hAnsi="方正黑体_GBK" w:eastAsia="方正黑体_GBK" w:cs="宋体"/>
          <w:sz w:val="20"/>
          <w:szCs w:val="24"/>
        </w:rPr>
        <w:t>（六）估值错误及暂停估值</w:t>
      </w:r>
    </w:p>
    <w:p w14:paraId="610AFCAC">
      <w:pPr>
        <w:spacing w:line="240" w:lineRule="auto"/>
        <w:ind w:firstLine="300"/>
        <w:jc w:val="both"/>
        <w:rPr>
          <w:sz w:val="28"/>
          <w:szCs w:val="28"/>
        </w:rPr>
      </w:pPr>
      <w:r>
        <w:rPr>
          <w:rFonts w:ascii="方正黑体_GBK" w:hAnsi="方正黑体_GBK" w:eastAsia="方正黑体_GBK" w:cs="宋体"/>
          <w:sz w:val="20"/>
          <w:szCs w:val="24"/>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14:paraId="22C9707A">
      <w:pPr>
        <w:pStyle w:val="29"/>
        <w:pBdr>
          <w:top w:val="none" w:color="auto" w:sz="0" w:space="0"/>
          <w:left w:val="none" w:color="auto" w:sz="0" w:space="0"/>
          <w:bottom w:val="none" w:color="auto" w:sz="0" w:space="0"/>
          <w:right w:val="none" w:color="auto" w:sz="0" w:space="0"/>
        </w:pBdr>
        <w:spacing w:line="240" w:lineRule="auto"/>
        <w:rPr>
          <w:rFonts w:hint="eastAsia" w:ascii="方正黑体_GBK" w:hAnsi="方正黑体_GBK" w:eastAsia="方正黑体_GBK" w:cs="宋体"/>
          <w:b/>
          <w:bCs/>
          <w:vanish w:val="0"/>
          <w:sz w:val="20"/>
          <w:szCs w:val="20"/>
        </w:rPr>
      </w:pPr>
      <w:r>
        <w:rPr>
          <w:rFonts w:hint="eastAsia" w:ascii="方正黑体_GBK" w:hAnsi="方正黑体_GBK" w:eastAsia="方正黑体_GBK" w:cs="宋体"/>
          <w:b/>
          <w:bCs/>
          <w:vanish w:val="0"/>
          <w:sz w:val="20"/>
          <w:szCs w:val="20"/>
        </w:rPr>
        <w:t>第五条 主体机构</w:t>
      </w:r>
    </w:p>
    <w:p w14:paraId="2AC4AE5D">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（一）销售机构基本信息</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857"/>
        <w:gridCol w:w="3676"/>
        <w:gridCol w:w="2544"/>
      </w:tblGrid>
      <w:tr w14:paraId="130AF55C">
        <w:trPr>
          <w:trHeight w:val="300" w:hRule="atLeast"/>
        </w:trPr>
        <w:tc>
          <w:tcPr>
            <w:tcW w:w="2100" w:type="dxa"/>
            <w:tcMar>
              <w:left w:w="120" w:type="dxa"/>
            </w:tcMar>
            <w:vAlign w:val="center"/>
          </w:tcPr>
          <w:p w14:paraId="361E9E40">
            <w:pPr>
              <w:spacing w:line="240" w:lineRule="auto"/>
              <w:rPr>
                <w:sz w:val="28"/>
                <w:szCs w:val="28"/>
              </w:rPr>
            </w:pPr>
            <w:r>
              <w:rPr>
                <w:rFonts w:ascii="方正黑体_GBK" w:hAnsi="方正黑体_GBK" w:eastAsia="方正黑体_GBK" w:cs="宋体"/>
                <w:b/>
                <w:sz w:val="20"/>
                <w:szCs w:val="24"/>
              </w:rPr>
              <w:t>销售机构名称</w:t>
            </w:r>
          </w:p>
        </w:tc>
        <w:tc>
          <w:tcPr>
            <w:tcW w:w="4050" w:type="dxa"/>
            <w:tcMar>
              <w:left w:w="120" w:type="dxa"/>
            </w:tcMar>
            <w:vAlign w:val="center"/>
          </w:tcPr>
          <w:p w14:paraId="3A131F4F">
            <w:pPr>
              <w:spacing w:line="240" w:lineRule="auto"/>
              <w:rPr>
                <w:sz w:val="28"/>
                <w:szCs w:val="28"/>
              </w:rPr>
            </w:pPr>
            <w:r>
              <w:rPr>
                <w:rFonts w:ascii="方正黑体_GBK" w:hAnsi="方正黑体_GBK" w:eastAsia="方正黑体_GBK" w:cs="宋体"/>
                <w:b/>
                <w:sz w:val="20"/>
                <w:szCs w:val="24"/>
              </w:rPr>
              <w:t>住所</w:t>
            </w:r>
          </w:p>
        </w:tc>
        <w:tc>
          <w:tcPr>
            <w:tcW w:w="1350" w:type="dxa"/>
            <w:tcMar>
              <w:left w:w="120" w:type="dxa"/>
            </w:tcMar>
            <w:vAlign w:val="center"/>
          </w:tcPr>
          <w:p w14:paraId="742FD7B9">
            <w:pPr>
              <w:spacing w:line="240" w:lineRule="auto"/>
              <w:rPr>
                <w:sz w:val="28"/>
                <w:szCs w:val="28"/>
              </w:rPr>
            </w:pPr>
            <w:r>
              <w:rPr>
                <w:rFonts w:ascii="方正黑体_GBK" w:hAnsi="方正黑体_GBK" w:eastAsia="方正黑体_GBK" w:cs="宋体"/>
                <w:b/>
                <w:sz w:val="20"/>
                <w:szCs w:val="24"/>
              </w:rPr>
              <w:t>联系方式</w:t>
            </w:r>
          </w:p>
        </w:tc>
      </w:tr>
      <w:tr w14:paraId="29B735E3">
        <w:trPr>
          <w:trHeight w:val="300" w:hRule="atLeast"/>
        </w:trPr>
        <w:tc>
          <w:tcPr>
            <w:tcW w:w="2100" w:type="dxa"/>
            <w:tcMar>
              <w:left w:w="120" w:type="dxa"/>
            </w:tcMar>
            <w:vAlign w:val="center"/>
          </w:tcPr>
          <w:p w14:paraId="723C3145">
            <w:pPr>
              <w:spacing w:line="240" w:lineRule="auto"/>
              <w:rPr>
                <w:sz w:val="28"/>
                <w:szCs w:val="28"/>
              </w:rPr>
            </w:pPr>
            <w:r>
              <w:rPr>
                <w:rFonts w:ascii="方正黑体_GBK" w:hAnsi="方正黑体_GBK" w:eastAsia="方正黑体_GBK" w:cs="宋体"/>
                <w:sz w:val="20"/>
                <w:szCs w:val="24"/>
              </w:rPr>
              <w:t>南银理财有限责任公司</w:t>
            </w:r>
          </w:p>
        </w:tc>
        <w:tc>
          <w:tcPr>
            <w:tcW w:w="4050" w:type="dxa"/>
            <w:tcMar>
              <w:left w:w="120" w:type="dxa"/>
            </w:tcMar>
            <w:vAlign w:val="center"/>
          </w:tcPr>
          <w:p w14:paraId="3AAC08FF">
            <w:pPr>
              <w:spacing w:line="240" w:lineRule="auto"/>
              <w:rPr>
                <w:sz w:val="28"/>
                <w:szCs w:val="28"/>
              </w:rPr>
            </w:pPr>
            <w:r>
              <w:rPr>
                <w:rFonts w:ascii="方正黑体_GBK" w:hAnsi="方正黑体_GBK" w:eastAsia="方正黑体_GBK" w:cs="宋体"/>
                <w:sz w:val="20"/>
                <w:szCs w:val="24"/>
              </w:rPr>
              <w:t>江苏省南京市建邺区庐山路242号2号楼14-16层</w:t>
            </w:r>
          </w:p>
        </w:tc>
        <w:tc>
          <w:tcPr>
            <w:tcW w:w="1350" w:type="dxa"/>
            <w:tcMar>
              <w:left w:w="120" w:type="dxa"/>
            </w:tcMar>
            <w:vAlign w:val="center"/>
          </w:tcPr>
          <w:p w14:paraId="250754B3">
            <w:pPr>
              <w:spacing w:line="240" w:lineRule="auto"/>
              <w:rPr>
                <w:sz w:val="28"/>
                <w:szCs w:val="28"/>
              </w:rPr>
            </w:pPr>
            <w:r>
              <w:rPr>
                <w:rFonts w:ascii="方正黑体_GBK" w:hAnsi="方正黑体_GBK" w:eastAsia="方正黑体_GBK" w:cs="宋体"/>
                <w:sz w:val="20"/>
                <w:szCs w:val="24"/>
              </w:rPr>
              <w:t>4001195302</w:t>
            </w:r>
          </w:p>
        </w:tc>
      </w:tr>
      <w:tr w14:paraId="361E2C48">
        <w:trPr>
          <w:trHeight w:val="300" w:hRule="atLeast"/>
        </w:trPr>
        <w:tc>
          <w:tcPr>
            <w:tcW w:w="2100" w:type="dxa"/>
            <w:tcMar>
              <w:left w:w="120" w:type="dxa"/>
            </w:tcMar>
            <w:vAlign w:val="center"/>
          </w:tcPr>
          <w:p w14:paraId="11D326A5">
            <w:pPr>
              <w:spacing w:line="240" w:lineRule="auto"/>
              <w:rPr>
                <w:sz w:val="28"/>
                <w:szCs w:val="28"/>
              </w:rPr>
            </w:pPr>
            <w:r>
              <w:rPr>
                <w:rFonts w:ascii="方正黑体_GBK" w:hAnsi="方正黑体_GBK" w:eastAsia="方正黑体_GBK" w:cs="宋体"/>
                <w:sz w:val="20"/>
                <w:szCs w:val="24"/>
              </w:rPr>
              <w:t>南京银行股份有限公司</w:t>
            </w:r>
          </w:p>
        </w:tc>
        <w:tc>
          <w:tcPr>
            <w:tcW w:w="4050" w:type="dxa"/>
            <w:tcMar>
              <w:left w:w="120" w:type="dxa"/>
            </w:tcMar>
            <w:vAlign w:val="center"/>
          </w:tcPr>
          <w:p w14:paraId="500F6AA0">
            <w:pPr>
              <w:spacing w:line="240" w:lineRule="auto"/>
              <w:rPr>
                <w:sz w:val="28"/>
                <w:szCs w:val="28"/>
              </w:rPr>
            </w:pPr>
            <w:r>
              <w:rPr>
                <w:rFonts w:ascii="方正黑体_GBK" w:hAnsi="方正黑体_GBK" w:eastAsia="方正黑体_GBK" w:cs="宋体"/>
                <w:sz w:val="20"/>
                <w:szCs w:val="24"/>
              </w:rPr>
              <w:t>南京市建邺区江山大街88号</w:t>
            </w:r>
          </w:p>
        </w:tc>
        <w:tc>
          <w:tcPr>
            <w:tcW w:w="1350" w:type="dxa"/>
            <w:tcMar>
              <w:left w:w="120" w:type="dxa"/>
            </w:tcMar>
            <w:vAlign w:val="center"/>
          </w:tcPr>
          <w:p w14:paraId="0D731744">
            <w:pPr>
              <w:spacing w:line="240" w:lineRule="auto"/>
              <w:rPr>
                <w:sz w:val="28"/>
                <w:szCs w:val="28"/>
              </w:rPr>
            </w:pPr>
            <w:r>
              <w:rPr>
                <w:rFonts w:ascii="方正黑体_GBK" w:hAnsi="方正黑体_GBK" w:eastAsia="方正黑体_GBK" w:cs="宋体"/>
                <w:sz w:val="20"/>
                <w:szCs w:val="24"/>
              </w:rPr>
              <w:t>95302</w:t>
            </w:r>
          </w:p>
        </w:tc>
      </w:tr>
      <w:tr w14:paraId="41DD5D3E">
        <w:trPr>
          <w:trHeight w:val="300" w:hRule="atLeast"/>
        </w:trPr>
        <w:tc>
          <w:tcPr>
            <w:tcW w:w="2100" w:type="dxa"/>
            <w:tcMar>
              <w:left w:w="120" w:type="dxa"/>
            </w:tcMar>
            <w:vAlign w:val="center"/>
          </w:tcPr>
          <w:p w14:paraId="6BC4FB77">
            <w:pPr>
              <w:spacing w:line="240" w:lineRule="auto"/>
              <w:rPr>
                <w:sz w:val="28"/>
                <w:szCs w:val="28"/>
              </w:rPr>
            </w:pPr>
            <w:r>
              <w:rPr>
                <w:rFonts w:ascii="方正黑体_GBK" w:hAnsi="方正黑体_GBK" w:eastAsia="方正黑体_GBK" w:cs="宋体"/>
                <w:sz w:val="20"/>
                <w:szCs w:val="24"/>
              </w:rPr>
              <w:t>江苏太仓农村商业银行股份有限公司</w:t>
            </w:r>
          </w:p>
        </w:tc>
        <w:tc>
          <w:tcPr>
            <w:tcW w:w="4050" w:type="dxa"/>
            <w:tcMar>
              <w:left w:w="120" w:type="dxa"/>
            </w:tcMar>
            <w:vAlign w:val="center"/>
          </w:tcPr>
          <w:p w14:paraId="7F4F7079">
            <w:pPr>
              <w:spacing w:line="240" w:lineRule="auto"/>
              <w:rPr>
                <w:sz w:val="28"/>
                <w:szCs w:val="28"/>
              </w:rPr>
            </w:pPr>
            <w:r>
              <w:rPr>
                <w:rFonts w:ascii="方正黑体_GBK" w:hAnsi="方正黑体_GBK" w:eastAsia="方正黑体_GBK" w:cs="宋体"/>
                <w:sz w:val="20"/>
                <w:szCs w:val="24"/>
              </w:rPr>
              <w:t>太仓市娄东街道上海东路198号</w:t>
            </w:r>
          </w:p>
        </w:tc>
        <w:tc>
          <w:tcPr>
            <w:tcW w:w="1350" w:type="dxa"/>
            <w:tcMar>
              <w:left w:w="120" w:type="dxa"/>
            </w:tcMar>
            <w:vAlign w:val="center"/>
          </w:tcPr>
          <w:p w14:paraId="15D039BD">
            <w:pPr>
              <w:spacing w:line="240" w:lineRule="auto"/>
              <w:rPr>
                <w:sz w:val="28"/>
                <w:szCs w:val="28"/>
              </w:rPr>
            </w:pPr>
            <w:r>
              <w:rPr>
                <w:rFonts w:ascii="方正黑体_GBK" w:hAnsi="方正黑体_GBK" w:eastAsia="方正黑体_GBK" w:cs="宋体"/>
                <w:sz w:val="20"/>
                <w:szCs w:val="24"/>
              </w:rPr>
              <w:t>4001840060</w:t>
            </w:r>
          </w:p>
        </w:tc>
      </w:tr>
      <w:tr w14:paraId="2E30D29C">
        <w:trPr>
          <w:trHeight w:val="300" w:hRule="atLeast"/>
        </w:trPr>
        <w:tc>
          <w:tcPr>
            <w:tcW w:w="2100" w:type="dxa"/>
            <w:tcMar>
              <w:left w:w="120" w:type="dxa"/>
            </w:tcMar>
            <w:vAlign w:val="center"/>
          </w:tcPr>
          <w:p w14:paraId="4F9D84E7">
            <w:pPr>
              <w:spacing w:line="240" w:lineRule="auto"/>
              <w:rPr>
                <w:sz w:val="28"/>
                <w:szCs w:val="28"/>
              </w:rPr>
            </w:pPr>
            <w:r>
              <w:rPr>
                <w:rFonts w:ascii="方正黑体_GBK" w:hAnsi="方正黑体_GBK" w:eastAsia="方正黑体_GBK" w:cs="宋体"/>
                <w:sz w:val="20"/>
                <w:szCs w:val="24"/>
              </w:rPr>
              <w:t>青岛银行股份有限公司</w:t>
            </w:r>
          </w:p>
        </w:tc>
        <w:tc>
          <w:tcPr>
            <w:tcW w:w="4050" w:type="dxa"/>
            <w:tcMar>
              <w:left w:w="120" w:type="dxa"/>
            </w:tcMar>
            <w:vAlign w:val="center"/>
          </w:tcPr>
          <w:p w14:paraId="7B6638E3">
            <w:pPr>
              <w:spacing w:line="240" w:lineRule="auto"/>
              <w:rPr>
                <w:sz w:val="28"/>
                <w:szCs w:val="28"/>
              </w:rPr>
            </w:pPr>
            <w:r>
              <w:rPr>
                <w:rFonts w:ascii="方正黑体_GBK" w:hAnsi="方正黑体_GBK" w:eastAsia="方正黑体_GBK" w:cs="宋体"/>
                <w:sz w:val="20"/>
                <w:szCs w:val="24"/>
              </w:rPr>
              <w:t>山东省青岛市崂山区秦岭路6号3号楼</w:t>
            </w:r>
          </w:p>
        </w:tc>
        <w:tc>
          <w:tcPr>
            <w:tcW w:w="1350" w:type="dxa"/>
            <w:tcMar>
              <w:left w:w="120" w:type="dxa"/>
            </w:tcMar>
            <w:vAlign w:val="center"/>
          </w:tcPr>
          <w:p w14:paraId="5D750D0C">
            <w:pPr>
              <w:spacing w:line="240" w:lineRule="auto"/>
              <w:rPr>
                <w:sz w:val="28"/>
                <w:szCs w:val="28"/>
              </w:rPr>
            </w:pPr>
            <w:r>
              <w:rPr>
                <w:rFonts w:ascii="方正黑体_GBK" w:hAnsi="方正黑体_GBK" w:eastAsia="方正黑体_GBK" w:cs="宋体"/>
                <w:sz w:val="20"/>
                <w:szCs w:val="24"/>
              </w:rPr>
              <w:t>4006696588</w:t>
            </w:r>
          </w:p>
        </w:tc>
      </w:tr>
      <w:tr w14:paraId="44DEC015">
        <w:trPr>
          <w:trHeight w:val="300" w:hRule="atLeast"/>
        </w:trPr>
        <w:tc>
          <w:tcPr>
            <w:tcW w:w="2100" w:type="dxa"/>
            <w:tcMar>
              <w:left w:w="120" w:type="dxa"/>
            </w:tcMar>
            <w:vAlign w:val="center"/>
          </w:tcPr>
          <w:p w14:paraId="33CBE346">
            <w:pPr>
              <w:spacing w:line="240" w:lineRule="auto"/>
              <w:rPr>
                <w:sz w:val="28"/>
                <w:szCs w:val="28"/>
              </w:rPr>
            </w:pPr>
            <w:r>
              <w:rPr>
                <w:rFonts w:ascii="方正黑体_GBK" w:hAnsi="方正黑体_GBK" w:eastAsia="方正黑体_GBK" w:cs="宋体"/>
                <w:sz w:val="20"/>
                <w:szCs w:val="24"/>
              </w:rPr>
              <w:t>江苏苏州农村商业银行股份有限公司</w:t>
            </w:r>
          </w:p>
        </w:tc>
        <w:tc>
          <w:tcPr>
            <w:tcW w:w="4050" w:type="dxa"/>
            <w:tcMar>
              <w:left w:w="120" w:type="dxa"/>
            </w:tcMar>
            <w:vAlign w:val="center"/>
          </w:tcPr>
          <w:p w14:paraId="5E7C51B3">
            <w:pPr>
              <w:spacing w:line="240" w:lineRule="auto"/>
              <w:rPr>
                <w:sz w:val="28"/>
                <w:szCs w:val="28"/>
              </w:rPr>
            </w:pPr>
            <w:r>
              <w:rPr>
                <w:rFonts w:ascii="方正黑体_GBK" w:hAnsi="方正黑体_GBK" w:eastAsia="方正黑体_GBK" w:cs="宋体"/>
                <w:sz w:val="20"/>
                <w:szCs w:val="24"/>
              </w:rPr>
              <w:t>江苏省苏州市吴江区中山南路1777号</w:t>
            </w:r>
          </w:p>
        </w:tc>
        <w:tc>
          <w:tcPr>
            <w:tcW w:w="1350" w:type="dxa"/>
            <w:tcMar>
              <w:left w:w="120" w:type="dxa"/>
            </w:tcMar>
            <w:vAlign w:val="center"/>
          </w:tcPr>
          <w:p w14:paraId="1124D8B8">
            <w:pPr>
              <w:spacing w:line="240" w:lineRule="auto"/>
              <w:rPr>
                <w:sz w:val="28"/>
                <w:szCs w:val="28"/>
              </w:rPr>
            </w:pPr>
            <w:r>
              <w:rPr>
                <w:rFonts w:ascii="方正黑体_GBK" w:hAnsi="方正黑体_GBK" w:eastAsia="方正黑体_GBK" w:cs="宋体"/>
                <w:sz w:val="20"/>
                <w:szCs w:val="24"/>
              </w:rPr>
              <w:t>956111</w:t>
            </w:r>
          </w:p>
        </w:tc>
      </w:tr>
      <w:tr w14:paraId="5697F1DA">
        <w:trPr>
          <w:trHeight w:val="300" w:hRule="atLeast"/>
        </w:trPr>
        <w:tc>
          <w:tcPr>
            <w:tcW w:w="2100" w:type="dxa"/>
            <w:tcMar>
              <w:left w:w="120" w:type="dxa"/>
            </w:tcMar>
            <w:vAlign w:val="center"/>
          </w:tcPr>
          <w:p w14:paraId="33E0C141">
            <w:pPr>
              <w:spacing w:line="240" w:lineRule="auto"/>
              <w:rPr>
                <w:sz w:val="28"/>
                <w:szCs w:val="28"/>
              </w:rPr>
            </w:pPr>
            <w:r>
              <w:rPr>
                <w:rFonts w:ascii="方正黑体_GBK" w:hAnsi="方正黑体_GBK" w:eastAsia="方正黑体_GBK" w:cs="宋体"/>
                <w:sz w:val="20"/>
                <w:szCs w:val="24"/>
              </w:rPr>
              <w:t>福建海峡银行股份有限公司</w:t>
            </w:r>
          </w:p>
        </w:tc>
        <w:tc>
          <w:tcPr>
            <w:tcW w:w="4050" w:type="dxa"/>
            <w:tcMar>
              <w:left w:w="120" w:type="dxa"/>
            </w:tcMar>
            <w:vAlign w:val="center"/>
          </w:tcPr>
          <w:p w14:paraId="18405865">
            <w:pPr>
              <w:spacing w:line="240" w:lineRule="auto"/>
              <w:rPr>
                <w:sz w:val="28"/>
                <w:szCs w:val="28"/>
              </w:rPr>
            </w:pPr>
            <w:r>
              <w:rPr>
                <w:rFonts w:ascii="方正黑体_GBK" w:hAnsi="方正黑体_GBK" w:eastAsia="方正黑体_GBK" w:cs="宋体"/>
                <w:sz w:val="20"/>
                <w:szCs w:val="24"/>
              </w:rPr>
              <w:t>福建省福州市台江区江滨中大道358号海峡银行大厦</w:t>
            </w:r>
          </w:p>
        </w:tc>
        <w:tc>
          <w:tcPr>
            <w:tcW w:w="1350" w:type="dxa"/>
            <w:tcMar>
              <w:left w:w="120" w:type="dxa"/>
            </w:tcMar>
            <w:vAlign w:val="center"/>
          </w:tcPr>
          <w:p w14:paraId="7E818520">
            <w:pPr>
              <w:spacing w:line="240" w:lineRule="auto"/>
              <w:rPr>
                <w:sz w:val="28"/>
                <w:szCs w:val="28"/>
              </w:rPr>
            </w:pPr>
            <w:r>
              <w:rPr>
                <w:rFonts w:ascii="方正黑体_GBK" w:hAnsi="方正黑体_GBK" w:eastAsia="方正黑体_GBK" w:cs="宋体"/>
                <w:sz w:val="20"/>
                <w:szCs w:val="24"/>
              </w:rPr>
              <w:t>0591-4008939999</w:t>
            </w:r>
          </w:p>
        </w:tc>
      </w:tr>
      <w:tr w14:paraId="06E5CD95">
        <w:trPr>
          <w:trHeight w:val="300" w:hRule="atLeast"/>
        </w:trPr>
        <w:tc>
          <w:tcPr>
            <w:tcW w:w="2100" w:type="dxa"/>
            <w:tcMar>
              <w:left w:w="120" w:type="dxa"/>
            </w:tcMar>
            <w:vAlign w:val="center"/>
          </w:tcPr>
          <w:p w14:paraId="0EF9FF16">
            <w:pPr>
              <w:spacing w:line="240" w:lineRule="auto"/>
              <w:rPr>
                <w:sz w:val="28"/>
                <w:szCs w:val="28"/>
              </w:rPr>
            </w:pPr>
            <w:r>
              <w:rPr>
                <w:rFonts w:ascii="方正黑体_GBK" w:hAnsi="方正黑体_GBK" w:eastAsia="方正黑体_GBK" w:cs="宋体"/>
                <w:sz w:val="20"/>
                <w:szCs w:val="24"/>
              </w:rPr>
              <w:t>秦皇岛银行股份有限公司</w:t>
            </w:r>
          </w:p>
        </w:tc>
        <w:tc>
          <w:tcPr>
            <w:tcW w:w="4050" w:type="dxa"/>
            <w:tcMar>
              <w:left w:w="120" w:type="dxa"/>
            </w:tcMar>
            <w:vAlign w:val="center"/>
          </w:tcPr>
          <w:p w14:paraId="27F1FB2A">
            <w:pPr>
              <w:spacing w:line="240" w:lineRule="auto"/>
              <w:rPr>
                <w:sz w:val="28"/>
                <w:szCs w:val="28"/>
              </w:rPr>
            </w:pPr>
            <w:r>
              <w:rPr>
                <w:rFonts w:ascii="方正黑体_GBK" w:hAnsi="方正黑体_GBK" w:eastAsia="方正黑体_GBK" w:cs="宋体"/>
                <w:sz w:val="20"/>
                <w:szCs w:val="24"/>
              </w:rPr>
              <w:t>河北省秦皇岛市海港区河北大街西段 560 号</w:t>
            </w:r>
          </w:p>
        </w:tc>
        <w:tc>
          <w:tcPr>
            <w:tcW w:w="1350" w:type="dxa"/>
            <w:tcMar>
              <w:left w:w="120" w:type="dxa"/>
            </w:tcMar>
            <w:vAlign w:val="center"/>
          </w:tcPr>
          <w:p w14:paraId="5618DE3C">
            <w:pPr>
              <w:spacing w:line="240" w:lineRule="auto"/>
              <w:rPr>
                <w:sz w:val="28"/>
                <w:szCs w:val="28"/>
              </w:rPr>
            </w:pPr>
            <w:r>
              <w:rPr>
                <w:rFonts w:ascii="方正黑体_GBK" w:hAnsi="方正黑体_GBK" w:eastAsia="方正黑体_GBK" w:cs="宋体"/>
                <w:sz w:val="20"/>
                <w:szCs w:val="24"/>
              </w:rPr>
              <w:t>0335-96336</w:t>
            </w:r>
          </w:p>
        </w:tc>
      </w:tr>
      <w:tr w14:paraId="455ECC91">
        <w:trPr>
          <w:trHeight w:val="300" w:hRule="atLeast"/>
        </w:trPr>
        <w:tc>
          <w:tcPr>
            <w:tcW w:w="2100" w:type="dxa"/>
            <w:tcMar>
              <w:left w:w="120" w:type="dxa"/>
            </w:tcMar>
            <w:vAlign w:val="center"/>
          </w:tcPr>
          <w:p w14:paraId="6C32AD8D">
            <w:pPr>
              <w:spacing w:line="240" w:lineRule="auto"/>
              <w:rPr>
                <w:sz w:val="28"/>
                <w:szCs w:val="28"/>
              </w:rPr>
            </w:pPr>
            <w:r>
              <w:rPr>
                <w:rFonts w:ascii="方正黑体_GBK" w:hAnsi="方正黑体_GBK" w:eastAsia="方正黑体_GBK" w:cs="宋体"/>
                <w:sz w:val="20"/>
                <w:szCs w:val="24"/>
              </w:rPr>
              <w:t>泰安银行股份有限公司</w:t>
            </w:r>
          </w:p>
        </w:tc>
        <w:tc>
          <w:tcPr>
            <w:tcW w:w="4050" w:type="dxa"/>
            <w:tcMar>
              <w:left w:w="120" w:type="dxa"/>
            </w:tcMar>
            <w:vAlign w:val="center"/>
          </w:tcPr>
          <w:p w14:paraId="3012D308">
            <w:pPr>
              <w:spacing w:line="240" w:lineRule="auto"/>
              <w:rPr>
                <w:sz w:val="28"/>
                <w:szCs w:val="28"/>
              </w:rPr>
            </w:pPr>
            <w:r>
              <w:rPr>
                <w:rFonts w:ascii="方正黑体_GBK" w:hAnsi="方正黑体_GBK" w:eastAsia="方正黑体_GBK" w:cs="宋体"/>
                <w:sz w:val="20"/>
                <w:szCs w:val="24"/>
              </w:rPr>
              <w:t>山东省泰安市长城路3号圣地大厦</w:t>
            </w:r>
          </w:p>
        </w:tc>
        <w:tc>
          <w:tcPr>
            <w:tcW w:w="1350" w:type="dxa"/>
            <w:tcMar>
              <w:left w:w="120" w:type="dxa"/>
            </w:tcMar>
            <w:vAlign w:val="center"/>
          </w:tcPr>
          <w:p w14:paraId="690C3C41">
            <w:pPr>
              <w:spacing w:line="240" w:lineRule="auto"/>
              <w:rPr>
                <w:sz w:val="28"/>
                <w:szCs w:val="28"/>
              </w:rPr>
            </w:pPr>
            <w:r>
              <w:rPr>
                <w:rFonts w:ascii="方正黑体_GBK" w:hAnsi="方正黑体_GBK" w:eastAsia="方正黑体_GBK" w:cs="宋体"/>
                <w:sz w:val="20"/>
                <w:szCs w:val="24"/>
              </w:rPr>
              <w:t>0538-96588</w:t>
            </w:r>
          </w:p>
        </w:tc>
      </w:tr>
      <w:tr w14:paraId="389E44EC">
        <w:trPr>
          <w:trHeight w:val="300" w:hRule="atLeast"/>
        </w:trPr>
        <w:tc>
          <w:tcPr>
            <w:tcW w:w="2100" w:type="dxa"/>
            <w:tcMar>
              <w:left w:w="120" w:type="dxa"/>
            </w:tcMar>
            <w:vAlign w:val="center"/>
          </w:tcPr>
          <w:p w14:paraId="1551DFB2">
            <w:pPr>
              <w:spacing w:line="240" w:lineRule="auto"/>
              <w:rPr>
                <w:sz w:val="28"/>
                <w:szCs w:val="28"/>
              </w:rPr>
            </w:pPr>
            <w:r>
              <w:rPr>
                <w:rFonts w:ascii="方正黑体_GBK" w:hAnsi="方正黑体_GBK" w:eastAsia="方正黑体_GBK" w:cs="宋体"/>
                <w:sz w:val="20"/>
                <w:szCs w:val="24"/>
              </w:rPr>
              <w:t>宁波东海银行股份有限公司</w:t>
            </w:r>
          </w:p>
        </w:tc>
        <w:tc>
          <w:tcPr>
            <w:tcW w:w="4050" w:type="dxa"/>
            <w:tcMar>
              <w:left w:w="120" w:type="dxa"/>
            </w:tcMar>
            <w:vAlign w:val="center"/>
          </w:tcPr>
          <w:p w14:paraId="4B995C6C">
            <w:pPr>
              <w:spacing w:line="240" w:lineRule="auto"/>
              <w:rPr>
                <w:sz w:val="28"/>
                <w:szCs w:val="28"/>
              </w:rPr>
            </w:pPr>
            <w:r>
              <w:rPr>
                <w:rFonts w:ascii="方正黑体_GBK" w:hAnsi="方正黑体_GBK" w:eastAsia="方正黑体_GBK" w:cs="宋体"/>
                <w:sz w:val="20"/>
                <w:szCs w:val="24"/>
              </w:rPr>
              <w:t>浙江省宁波高新区新晖南路113-127号（单号），扬帆路515号2-10层，高新宝龙商业广场13-19号、22号、29号</w:t>
            </w:r>
          </w:p>
        </w:tc>
        <w:tc>
          <w:tcPr>
            <w:tcW w:w="1350" w:type="dxa"/>
            <w:tcMar>
              <w:left w:w="120" w:type="dxa"/>
            </w:tcMar>
            <w:vAlign w:val="center"/>
          </w:tcPr>
          <w:p w14:paraId="5A5A81E5">
            <w:pPr>
              <w:spacing w:line="240" w:lineRule="auto"/>
              <w:rPr>
                <w:sz w:val="28"/>
                <w:szCs w:val="28"/>
              </w:rPr>
            </w:pPr>
            <w:r>
              <w:rPr>
                <w:rFonts w:ascii="方正黑体_GBK" w:hAnsi="方正黑体_GBK" w:eastAsia="方正黑体_GBK" w:cs="宋体"/>
                <w:sz w:val="20"/>
                <w:szCs w:val="24"/>
              </w:rPr>
              <w:t>400-8866-345</w:t>
            </w:r>
          </w:p>
        </w:tc>
      </w:tr>
      <w:tr w14:paraId="58D692FC">
        <w:trPr>
          <w:trHeight w:val="300" w:hRule="atLeast"/>
        </w:trPr>
        <w:tc>
          <w:tcPr>
            <w:tcW w:w="2100" w:type="dxa"/>
            <w:tcMar>
              <w:left w:w="120" w:type="dxa"/>
            </w:tcMar>
            <w:vAlign w:val="center"/>
          </w:tcPr>
          <w:p w14:paraId="66065C67">
            <w:pPr>
              <w:spacing w:line="240" w:lineRule="auto"/>
              <w:rPr>
                <w:sz w:val="28"/>
                <w:szCs w:val="28"/>
              </w:rPr>
            </w:pPr>
            <w:r>
              <w:rPr>
                <w:rFonts w:ascii="方正黑体_GBK" w:hAnsi="方正黑体_GBK" w:eastAsia="方正黑体_GBK" w:cs="宋体"/>
                <w:sz w:val="20"/>
                <w:szCs w:val="24"/>
              </w:rPr>
              <w:t>齐鲁银行股份有限公司</w:t>
            </w:r>
          </w:p>
        </w:tc>
        <w:tc>
          <w:tcPr>
            <w:tcW w:w="4050" w:type="dxa"/>
            <w:tcMar>
              <w:left w:w="120" w:type="dxa"/>
            </w:tcMar>
            <w:vAlign w:val="center"/>
          </w:tcPr>
          <w:p w14:paraId="2C1BB564">
            <w:pPr>
              <w:spacing w:line="240" w:lineRule="auto"/>
              <w:rPr>
                <w:sz w:val="28"/>
                <w:szCs w:val="28"/>
              </w:rPr>
            </w:pPr>
            <w:r>
              <w:rPr>
                <w:rFonts w:ascii="方正黑体_GBK" w:hAnsi="方正黑体_GBK" w:eastAsia="方正黑体_GBK" w:cs="宋体"/>
                <w:sz w:val="20"/>
                <w:szCs w:val="24"/>
              </w:rPr>
              <w:t>山东省济南市历下区经十路10817号</w:t>
            </w:r>
          </w:p>
        </w:tc>
        <w:tc>
          <w:tcPr>
            <w:tcW w:w="1350" w:type="dxa"/>
            <w:tcMar>
              <w:left w:w="120" w:type="dxa"/>
            </w:tcMar>
            <w:vAlign w:val="center"/>
          </w:tcPr>
          <w:p w14:paraId="0BE00F23">
            <w:pPr>
              <w:spacing w:line="240" w:lineRule="auto"/>
              <w:rPr>
                <w:sz w:val="28"/>
                <w:szCs w:val="28"/>
              </w:rPr>
            </w:pPr>
            <w:r>
              <w:rPr>
                <w:rFonts w:ascii="方正黑体_GBK" w:hAnsi="方正黑体_GBK" w:eastAsia="方正黑体_GBK" w:cs="宋体"/>
                <w:sz w:val="20"/>
                <w:szCs w:val="24"/>
              </w:rPr>
              <w:t>4006096588</w:t>
            </w:r>
          </w:p>
        </w:tc>
      </w:tr>
      <w:tr w14:paraId="58DF4866">
        <w:trPr>
          <w:trHeight w:val="300" w:hRule="atLeast"/>
        </w:trPr>
        <w:tc>
          <w:tcPr>
            <w:tcW w:w="2100" w:type="dxa"/>
            <w:tcMar>
              <w:left w:w="120" w:type="dxa"/>
            </w:tcMar>
            <w:vAlign w:val="center"/>
          </w:tcPr>
          <w:p w14:paraId="505E5A5A">
            <w:pPr>
              <w:spacing w:line="240" w:lineRule="auto"/>
              <w:rPr>
                <w:sz w:val="28"/>
                <w:szCs w:val="28"/>
              </w:rPr>
            </w:pPr>
            <w:r>
              <w:rPr>
                <w:rFonts w:ascii="方正黑体_GBK" w:hAnsi="方正黑体_GBK" w:eastAsia="方正黑体_GBK" w:cs="宋体"/>
                <w:sz w:val="20"/>
                <w:szCs w:val="24"/>
              </w:rPr>
              <w:t>贵阳银行股份有限公司</w:t>
            </w:r>
          </w:p>
        </w:tc>
        <w:tc>
          <w:tcPr>
            <w:tcW w:w="4050" w:type="dxa"/>
            <w:tcMar>
              <w:left w:w="120" w:type="dxa"/>
            </w:tcMar>
            <w:vAlign w:val="center"/>
          </w:tcPr>
          <w:p w14:paraId="3BE9BE84">
            <w:pPr>
              <w:spacing w:line="240" w:lineRule="auto"/>
              <w:rPr>
                <w:sz w:val="28"/>
                <w:szCs w:val="28"/>
              </w:rPr>
            </w:pPr>
            <w:r>
              <w:rPr>
                <w:rFonts w:ascii="方正黑体_GBK" w:hAnsi="方正黑体_GBK" w:eastAsia="方正黑体_GBK" w:cs="宋体"/>
                <w:sz w:val="20"/>
                <w:szCs w:val="24"/>
              </w:rPr>
              <w:t>贵州省贵阳市观山湖区长岭北路中天·会展城B区金融商务区东区1-6栋</w:t>
            </w:r>
          </w:p>
        </w:tc>
        <w:tc>
          <w:tcPr>
            <w:tcW w:w="1350" w:type="dxa"/>
            <w:tcMar>
              <w:left w:w="120" w:type="dxa"/>
            </w:tcMar>
            <w:vAlign w:val="center"/>
          </w:tcPr>
          <w:p w14:paraId="5E8F45C3">
            <w:pPr>
              <w:spacing w:line="240" w:lineRule="auto"/>
              <w:rPr>
                <w:sz w:val="28"/>
                <w:szCs w:val="28"/>
              </w:rPr>
            </w:pPr>
            <w:r>
              <w:rPr>
                <w:rFonts w:ascii="方正黑体_GBK" w:hAnsi="方正黑体_GBK" w:eastAsia="方正黑体_GBK" w:cs="宋体"/>
                <w:sz w:val="20"/>
                <w:szCs w:val="24"/>
              </w:rPr>
              <w:t>0851-86859053</w:t>
            </w:r>
          </w:p>
        </w:tc>
      </w:tr>
      <w:tr w14:paraId="045F0DD5">
        <w:trPr>
          <w:trHeight w:val="300" w:hRule="atLeast"/>
        </w:trPr>
        <w:tc>
          <w:tcPr>
            <w:tcW w:w="2100" w:type="dxa"/>
            <w:tcMar>
              <w:left w:w="120" w:type="dxa"/>
            </w:tcMar>
            <w:vAlign w:val="center"/>
          </w:tcPr>
          <w:p w14:paraId="285B926D">
            <w:pPr>
              <w:spacing w:line="240" w:lineRule="auto"/>
              <w:rPr>
                <w:sz w:val="28"/>
                <w:szCs w:val="28"/>
              </w:rPr>
            </w:pPr>
            <w:r>
              <w:rPr>
                <w:rFonts w:ascii="方正黑体_GBK" w:hAnsi="方正黑体_GBK" w:eastAsia="方正黑体_GBK" w:cs="宋体"/>
                <w:sz w:val="20"/>
                <w:szCs w:val="24"/>
              </w:rPr>
              <w:t>云南红塔银行股份有限公司</w:t>
            </w:r>
          </w:p>
        </w:tc>
        <w:tc>
          <w:tcPr>
            <w:tcW w:w="4050" w:type="dxa"/>
            <w:tcMar>
              <w:left w:w="120" w:type="dxa"/>
            </w:tcMar>
            <w:vAlign w:val="center"/>
          </w:tcPr>
          <w:p w14:paraId="53D86760">
            <w:pPr>
              <w:spacing w:line="240" w:lineRule="auto"/>
              <w:rPr>
                <w:sz w:val="28"/>
                <w:szCs w:val="28"/>
              </w:rPr>
            </w:pPr>
            <w:r>
              <w:rPr>
                <w:rFonts w:ascii="方正黑体_GBK" w:hAnsi="方正黑体_GBK" w:eastAsia="方正黑体_GBK" w:cs="宋体"/>
                <w:sz w:val="20"/>
                <w:szCs w:val="24"/>
              </w:rPr>
              <w:t>云南省玉溪市东风南路2号</w:t>
            </w:r>
          </w:p>
        </w:tc>
        <w:tc>
          <w:tcPr>
            <w:tcW w:w="1350" w:type="dxa"/>
            <w:tcMar>
              <w:left w:w="120" w:type="dxa"/>
            </w:tcMar>
            <w:vAlign w:val="center"/>
          </w:tcPr>
          <w:p w14:paraId="0BA1A2C8">
            <w:pPr>
              <w:spacing w:line="240" w:lineRule="auto"/>
              <w:rPr>
                <w:sz w:val="28"/>
                <w:szCs w:val="28"/>
              </w:rPr>
            </w:pPr>
            <w:r>
              <w:rPr>
                <w:rFonts w:ascii="方正黑体_GBK" w:hAnsi="方正黑体_GBK" w:eastAsia="方正黑体_GBK" w:cs="宋体"/>
                <w:sz w:val="20"/>
                <w:szCs w:val="24"/>
              </w:rPr>
              <w:t>96522</w:t>
            </w:r>
          </w:p>
        </w:tc>
      </w:tr>
      <w:tr w14:paraId="43CA8204">
        <w:trPr>
          <w:trHeight w:val="300" w:hRule="atLeast"/>
        </w:trPr>
        <w:tc>
          <w:tcPr>
            <w:tcW w:w="2100" w:type="dxa"/>
            <w:tcMar>
              <w:left w:w="120" w:type="dxa"/>
            </w:tcMar>
            <w:vAlign w:val="center"/>
          </w:tcPr>
          <w:p w14:paraId="26E83EA1">
            <w:pPr>
              <w:spacing w:line="240" w:lineRule="auto"/>
              <w:rPr>
                <w:sz w:val="28"/>
                <w:szCs w:val="28"/>
              </w:rPr>
            </w:pPr>
            <w:r>
              <w:rPr>
                <w:rFonts w:ascii="方正黑体_GBK" w:hAnsi="方正黑体_GBK" w:eastAsia="方正黑体_GBK" w:cs="宋体"/>
                <w:sz w:val="20"/>
                <w:szCs w:val="24"/>
              </w:rPr>
              <w:t>天津农村商业银行股份有限公司</w:t>
            </w:r>
          </w:p>
        </w:tc>
        <w:tc>
          <w:tcPr>
            <w:tcW w:w="4050" w:type="dxa"/>
            <w:tcMar>
              <w:left w:w="120" w:type="dxa"/>
            </w:tcMar>
            <w:vAlign w:val="center"/>
          </w:tcPr>
          <w:p w14:paraId="0FFFD1B9">
            <w:pPr>
              <w:spacing w:line="240" w:lineRule="auto"/>
              <w:rPr>
                <w:sz w:val="28"/>
                <w:szCs w:val="28"/>
              </w:rPr>
            </w:pPr>
            <w:r>
              <w:rPr>
                <w:rFonts w:ascii="方正黑体_GBK" w:hAnsi="方正黑体_GBK" w:eastAsia="方正黑体_GBK" w:cs="宋体"/>
                <w:sz w:val="20"/>
                <w:szCs w:val="24"/>
              </w:rPr>
              <w:t>天津市河西区友谊路32号</w:t>
            </w:r>
          </w:p>
        </w:tc>
        <w:tc>
          <w:tcPr>
            <w:tcW w:w="1350" w:type="dxa"/>
            <w:tcMar>
              <w:left w:w="120" w:type="dxa"/>
            </w:tcMar>
            <w:vAlign w:val="center"/>
          </w:tcPr>
          <w:p w14:paraId="281FEE42">
            <w:pPr>
              <w:spacing w:line="240" w:lineRule="auto"/>
              <w:rPr>
                <w:sz w:val="28"/>
                <w:szCs w:val="28"/>
              </w:rPr>
            </w:pPr>
            <w:r>
              <w:rPr>
                <w:rFonts w:ascii="方正黑体_GBK" w:hAnsi="方正黑体_GBK" w:eastAsia="方正黑体_GBK" w:cs="宋体"/>
                <w:sz w:val="20"/>
                <w:szCs w:val="24"/>
              </w:rPr>
              <w:t>022-96155、400-80-96155</w:t>
            </w:r>
          </w:p>
        </w:tc>
      </w:tr>
      <w:tr w14:paraId="07776CC3">
        <w:trPr>
          <w:trHeight w:val="300" w:hRule="atLeast"/>
        </w:trPr>
        <w:tc>
          <w:tcPr>
            <w:tcW w:w="2100" w:type="dxa"/>
            <w:tcMar>
              <w:left w:w="120" w:type="dxa"/>
            </w:tcMar>
            <w:vAlign w:val="center"/>
          </w:tcPr>
          <w:p w14:paraId="4B62F08E">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050" w:type="dxa"/>
            <w:tcMar>
              <w:left w:w="120" w:type="dxa"/>
            </w:tcMar>
            <w:vAlign w:val="center"/>
          </w:tcPr>
          <w:p w14:paraId="60BD8D72">
            <w:pPr>
              <w:spacing w:line="240" w:lineRule="auto"/>
              <w:rPr>
                <w:sz w:val="28"/>
                <w:szCs w:val="28"/>
              </w:rPr>
            </w:pPr>
            <w:r>
              <w:rPr>
                <w:rFonts w:ascii="方正黑体_GBK" w:hAnsi="方正黑体_GBK" w:eastAsia="方正黑体_GBK" w:cs="宋体"/>
                <w:sz w:val="20"/>
                <w:szCs w:val="24"/>
              </w:rPr>
              <w:t>南京市建邺区江东中路381号</w:t>
            </w:r>
          </w:p>
        </w:tc>
        <w:tc>
          <w:tcPr>
            <w:tcW w:w="1350" w:type="dxa"/>
            <w:tcMar>
              <w:left w:w="120" w:type="dxa"/>
            </w:tcMar>
            <w:vAlign w:val="center"/>
          </w:tcPr>
          <w:p w14:paraId="79B1CF07">
            <w:pPr>
              <w:spacing w:line="240" w:lineRule="auto"/>
              <w:rPr>
                <w:sz w:val="28"/>
                <w:szCs w:val="28"/>
              </w:rPr>
            </w:pPr>
            <w:r>
              <w:rPr>
                <w:rFonts w:ascii="方正黑体_GBK" w:hAnsi="方正黑体_GBK" w:eastAsia="方正黑体_GBK" w:cs="宋体"/>
                <w:sz w:val="20"/>
                <w:szCs w:val="24"/>
              </w:rPr>
              <w:t>96008</w:t>
            </w:r>
          </w:p>
        </w:tc>
      </w:tr>
      <w:tr w14:paraId="2368FC57">
        <w:trPr>
          <w:trHeight w:val="300" w:hRule="atLeast"/>
        </w:trPr>
        <w:tc>
          <w:tcPr>
            <w:tcW w:w="2100" w:type="dxa"/>
            <w:tcMar>
              <w:left w:w="120" w:type="dxa"/>
            </w:tcMar>
            <w:vAlign w:val="center"/>
          </w:tcPr>
          <w:p w14:paraId="12D73B65">
            <w:pPr>
              <w:spacing w:line="240" w:lineRule="auto"/>
              <w:rPr>
                <w:sz w:val="28"/>
                <w:szCs w:val="28"/>
              </w:rPr>
            </w:pPr>
            <w:r>
              <w:rPr>
                <w:rFonts w:ascii="方正黑体_GBK" w:hAnsi="方正黑体_GBK" w:eastAsia="方正黑体_GBK" w:cs="宋体"/>
                <w:sz w:val="20"/>
                <w:szCs w:val="24"/>
              </w:rPr>
              <w:t>温州银行股份有限公司</w:t>
            </w:r>
          </w:p>
        </w:tc>
        <w:tc>
          <w:tcPr>
            <w:tcW w:w="4050" w:type="dxa"/>
            <w:tcMar>
              <w:left w:w="120" w:type="dxa"/>
            </w:tcMar>
            <w:vAlign w:val="center"/>
          </w:tcPr>
          <w:p w14:paraId="7A3A92BE">
            <w:pPr>
              <w:spacing w:line="240" w:lineRule="auto"/>
              <w:rPr>
                <w:sz w:val="28"/>
                <w:szCs w:val="28"/>
              </w:rPr>
            </w:pPr>
            <w:r>
              <w:rPr>
                <w:rFonts w:ascii="方正黑体_GBK" w:hAnsi="方正黑体_GBK" w:eastAsia="方正黑体_GBK" w:cs="宋体"/>
                <w:sz w:val="20"/>
                <w:szCs w:val="24"/>
              </w:rPr>
              <w:t>浙江省温州市鹿城区会展路1316号</w:t>
            </w:r>
          </w:p>
        </w:tc>
        <w:tc>
          <w:tcPr>
            <w:tcW w:w="1350" w:type="dxa"/>
            <w:tcMar>
              <w:left w:w="120" w:type="dxa"/>
            </w:tcMar>
            <w:vAlign w:val="center"/>
          </w:tcPr>
          <w:p w14:paraId="00AEA305">
            <w:pPr>
              <w:spacing w:line="240" w:lineRule="auto"/>
              <w:rPr>
                <w:sz w:val="28"/>
                <w:szCs w:val="28"/>
              </w:rPr>
            </w:pPr>
            <w:r>
              <w:rPr>
                <w:rFonts w:ascii="方正黑体_GBK" w:hAnsi="方正黑体_GBK" w:eastAsia="方正黑体_GBK" w:cs="宋体"/>
                <w:sz w:val="20"/>
                <w:szCs w:val="24"/>
              </w:rPr>
              <w:t>96699</w:t>
            </w:r>
          </w:p>
        </w:tc>
      </w:tr>
      <w:tr w14:paraId="31BFEFAE">
        <w:trPr>
          <w:trHeight w:val="300" w:hRule="atLeast"/>
        </w:trPr>
        <w:tc>
          <w:tcPr>
            <w:tcW w:w="2100" w:type="dxa"/>
            <w:tcMar>
              <w:left w:w="120" w:type="dxa"/>
            </w:tcMar>
            <w:vAlign w:val="center"/>
          </w:tcPr>
          <w:p w14:paraId="1873E897">
            <w:pPr>
              <w:spacing w:line="240" w:lineRule="auto"/>
              <w:rPr>
                <w:sz w:val="28"/>
                <w:szCs w:val="28"/>
              </w:rPr>
            </w:pPr>
            <w:r>
              <w:rPr>
                <w:rFonts w:ascii="方正黑体_GBK" w:hAnsi="方正黑体_GBK" w:eastAsia="方正黑体_GBK" w:cs="宋体"/>
                <w:sz w:val="20"/>
                <w:szCs w:val="24"/>
              </w:rPr>
              <w:t>江苏滨海农村商业银行股份有限公司</w:t>
            </w:r>
          </w:p>
        </w:tc>
        <w:tc>
          <w:tcPr>
            <w:tcW w:w="4050" w:type="dxa"/>
            <w:tcMar>
              <w:left w:w="120" w:type="dxa"/>
            </w:tcMar>
            <w:vAlign w:val="center"/>
          </w:tcPr>
          <w:p w14:paraId="41B5BFB4">
            <w:pPr>
              <w:spacing w:line="240" w:lineRule="auto"/>
              <w:rPr>
                <w:sz w:val="28"/>
                <w:szCs w:val="28"/>
              </w:rPr>
            </w:pPr>
            <w:r>
              <w:rPr>
                <w:rFonts w:ascii="方正黑体_GBK" w:hAnsi="方正黑体_GBK" w:eastAsia="方正黑体_GBK" w:cs="宋体"/>
                <w:sz w:val="20"/>
                <w:szCs w:val="24"/>
              </w:rPr>
              <w:t>滨海县城迎宾中路1号</w:t>
            </w:r>
          </w:p>
        </w:tc>
        <w:tc>
          <w:tcPr>
            <w:tcW w:w="1350" w:type="dxa"/>
            <w:tcMar>
              <w:left w:w="120" w:type="dxa"/>
            </w:tcMar>
            <w:vAlign w:val="center"/>
          </w:tcPr>
          <w:p w14:paraId="6C01E840">
            <w:pPr>
              <w:spacing w:line="240" w:lineRule="auto"/>
              <w:rPr>
                <w:sz w:val="28"/>
                <w:szCs w:val="28"/>
              </w:rPr>
            </w:pPr>
            <w:r>
              <w:rPr>
                <w:rFonts w:ascii="方正黑体_GBK" w:hAnsi="方正黑体_GBK" w:eastAsia="方正黑体_GBK" w:cs="宋体"/>
                <w:sz w:val="20"/>
                <w:szCs w:val="24"/>
              </w:rPr>
              <w:t>96008</w:t>
            </w:r>
          </w:p>
        </w:tc>
      </w:tr>
      <w:tr w14:paraId="26980C41">
        <w:trPr>
          <w:trHeight w:val="300" w:hRule="atLeast"/>
        </w:trPr>
        <w:tc>
          <w:tcPr>
            <w:tcW w:w="2100" w:type="dxa"/>
            <w:tcMar>
              <w:left w:w="120" w:type="dxa"/>
            </w:tcMar>
            <w:vAlign w:val="center"/>
          </w:tcPr>
          <w:p w14:paraId="33B9CC2D">
            <w:pPr>
              <w:spacing w:line="240" w:lineRule="auto"/>
              <w:rPr>
                <w:sz w:val="28"/>
                <w:szCs w:val="28"/>
              </w:rPr>
            </w:pPr>
            <w:r>
              <w:rPr>
                <w:rFonts w:ascii="方正黑体_GBK" w:hAnsi="方正黑体_GBK" w:eastAsia="方正黑体_GBK" w:cs="宋体"/>
                <w:sz w:val="20"/>
                <w:szCs w:val="24"/>
              </w:rPr>
              <w:t>江苏金湖农村商业银行股份有限公司</w:t>
            </w:r>
          </w:p>
        </w:tc>
        <w:tc>
          <w:tcPr>
            <w:tcW w:w="4050" w:type="dxa"/>
            <w:tcMar>
              <w:left w:w="120" w:type="dxa"/>
            </w:tcMar>
            <w:vAlign w:val="center"/>
          </w:tcPr>
          <w:p w14:paraId="04729AC0">
            <w:pPr>
              <w:spacing w:line="240" w:lineRule="auto"/>
              <w:rPr>
                <w:sz w:val="28"/>
                <w:szCs w:val="28"/>
              </w:rPr>
            </w:pPr>
            <w:r>
              <w:rPr>
                <w:rFonts w:ascii="方正黑体_GBK" w:hAnsi="方正黑体_GBK" w:eastAsia="方正黑体_GBK" w:cs="宋体"/>
                <w:sz w:val="20"/>
                <w:szCs w:val="24"/>
              </w:rPr>
              <w:t>江苏省金湖县黎城街道神华大道299号</w:t>
            </w:r>
          </w:p>
        </w:tc>
        <w:tc>
          <w:tcPr>
            <w:tcW w:w="1350" w:type="dxa"/>
            <w:tcMar>
              <w:left w:w="120" w:type="dxa"/>
            </w:tcMar>
            <w:vAlign w:val="center"/>
          </w:tcPr>
          <w:p w14:paraId="4CCE1330">
            <w:pPr>
              <w:spacing w:line="240" w:lineRule="auto"/>
              <w:rPr>
                <w:sz w:val="28"/>
                <w:szCs w:val="28"/>
              </w:rPr>
            </w:pPr>
            <w:r>
              <w:rPr>
                <w:rFonts w:ascii="方正黑体_GBK" w:hAnsi="方正黑体_GBK" w:eastAsia="方正黑体_GBK" w:cs="宋体"/>
                <w:sz w:val="20"/>
                <w:szCs w:val="24"/>
              </w:rPr>
              <w:t>96008</w:t>
            </w:r>
          </w:p>
        </w:tc>
      </w:tr>
      <w:tr w14:paraId="3080D9B1">
        <w:trPr>
          <w:trHeight w:val="300" w:hRule="atLeast"/>
        </w:trPr>
        <w:tc>
          <w:tcPr>
            <w:tcW w:w="2100" w:type="dxa"/>
            <w:tcMar>
              <w:left w:w="120" w:type="dxa"/>
            </w:tcMar>
            <w:vAlign w:val="center"/>
          </w:tcPr>
          <w:p w14:paraId="4AC91CC3">
            <w:pPr>
              <w:spacing w:line="240" w:lineRule="auto"/>
              <w:rPr>
                <w:sz w:val="28"/>
                <w:szCs w:val="28"/>
              </w:rPr>
            </w:pPr>
            <w:r>
              <w:rPr>
                <w:rFonts w:ascii="方正黑体_GBK" w:hAnsi="方正黑体_GBK" w:eastAsia="方正黑体_GBK" w:cs="宋体"/>
                <w:sz w:val="20"/>
                <w:szCs w:val="24"/>
              </w:rPr>
              <w:t>苏州银行股份有限公司</w:t>
            </w:r>
          </w:p>
        </w:tc>
        <w:tc>
          <w:tcPr>
            <w:tcW w:w="4050" w:type="dxa"/>
            <w:tcMar>
              <w:left w:w="120" w:type="dxa"/>
            </w:tcMar>
            <w:vAlign w:val="center"/>
          </w:tcPr>
          <w:p w14:paraId="449C22C2">
            <w:pPr>
              <w:spacing w:line="240" w:lineRule="auto"/>
              <w:rPr>
                <w:sz w:val="28"/>
                <w:szCs w:val="28"/>
              </w:rPr>
            </w:pPr>
            <w:r>
              <w:rPr>
                <w:rFonts w:ascii="方正黑体_GBK" w:hAnsi="方正黑体_GBK" w:eastAsia="方正黑体_GBK" w:cs="宋体"/>
                <w:sz w:val="20"/>
                <w:szCs w:val="24"/>
              </w:rPr>
              <w:t>中国（江苏）自由贸易试验区苏州片区苏州工业园区钟园路728号</w:t>
            </w:r>
          </w:p>
        </w:tc>
        <w:tc>
          <w:tcPr>
            <w:tcW w:w="1350" w:type="dxa"/>
            <w:tcMar>
              <w:left w:w="120" w:type="dxa"/>
            </w:tcMar>
            <w:vAlign w:val="center"/>
          </w:tcPr>
          <w:p w14:paraId="4F07EA23">
            <w:pPr>
              <w:spacing w:line="240" w:lineRule="auto"/>
              <w:rPr>
                <w:sz w:val="28"/>
                <w:szCs w:val="28"/>
              </w:rPr>
            </w:pPr>
            <w:r>
              <w:rPr>
                <w:rFonts w:ascii="方正黑体_GBK" w:hAnsi="方正黑体_GBK" w:eastAsia="方正黑体_GBK" w:cs="宋体"/>
                <w:sz w:val="20"/>
                <w:szCs w:val="24"/>
              </w:rPr>
              <w:t>0512-96067</w:t>
            </w:r>
          </w:p>
        </w:tc>
      </w:tr>
      <w:tr w14:paraId="6DC6B2AC">
        <w:trPr>
          <w:trHeight w:val="300" w:hRule="atLeast"/>
        </w:trPr>
        <w:tc>
          <w:tcPr>
            <w:tcW w:w="2100" w:type="dxa"/>
            <w:tcMar>
              <w:left w:w="120" w:type="dxa"/>
            </w:tcMar>
            <w:vAlign w:val="center"/>
          </w:tcPr>
          <w:p w14:paraId="0E6A7152">
            <w:pPr>
              <w:spacing w:line="240" w:lineRule="auto"/>
              <w:rPr>
                <w:sz w:val="28"/>
                <w:szCs w:val="28"/>
              </w:rPr>
            </w:pPr>
            <w:r>
              <w:rPr>
                <w:rFonts w:ascii="方正黑体_GBK" w:hAnsi="方正黑体_GBK" w:eastAsia="方正黑体_GBK" w:cs="宋体"/>
                <w:sz w:val="20"/>
                <w:szCs w:val="24"/>
              </w:rPr>
              <w:t>蒙商银行股份有限公司</w:t>
            </w:r>
          </w:p>
        </w:tc>
        <w:tc>
          <w:tcPr>
            <w:tcW w:w="4050" w:type="dxa"/>
            <w:tcMar>
              <w:left w:w="120" w:type="dxa"/>
            </w:tcMar>
            <w:vAlign w:val="center"/>
          </w:tcPr>
          <w:p w14:paraId="069A499B">
            <w:pPr>
              <w:spacing w:line="240" w:lineRule="auto"/>
              <w:rPr>
                <w:sz w:val="28"/>
                <w:szCs w:val="28"/>
              </w:rPr>
            </w:pPr>
            <w:r>
              <w:rPr>
                <w:rFonts w:ascii="方正黑体_GBK" w:hAnsi="方正黑体_GBK" w:eastAsia="方正黑体_GBK" w:cs="宋体"/>
                <w:sz w:val="20"/>
                <w:szCs w:val="24"/>
              </w:rPr>
              <w:t>内蒙古自治区包头市九原区赛汗街道办事处建华南路2号A座</w:t>
            </w:r>
          </w:p>
        </w:tc>
        <w:tc>
          <w:tcPr>
            <w:tcW w:w="1350" w:type="dxa"/>
            <w:tcMar>
              <w:left w:w="120" w:type="dxa"/>
            </w:tcMar>
            <w:vAlign w:val="center"/>
          </w:tcPr>
          <w:p w14:paraId="1D460324">
            <w:pPr>
              <w:spacing w:line="240" w:lineRule="auto"/>
              <w:rPr>
                <w:sz w:val="28"/>
                <w:szCs w:val="28"/>
              </w:rPr>
            </w:pPr>
            <w:r>
              <w:rPr>
                <w:rFonts w:ascii="方正黑体_GBK" w:hAnsi="方正黑体_GBK" w:eastAsia="方正黑体_GBK" w:cs="宋体"/>
                <w:sz w:val="20"/>
                <w:szCs w:val="24"/>
              </w:rPr>
              <w:t>0472-2658888</w:t>
            </w:r>
          </w:p>
        </w:tc>
      </w:tr>
      <w:tr w14:paraId="40D1E9BA">
        <w:trPr>
          <w:trHeight w:val="300" w:hRule="atLeast"/>
        </w:trPr>
        <w:tc>
          <w:tcPr>
            <w:tcW w:w="2100" w:type="dxa"/>
            <w:tcMar>
              <w:left w:w="120" w:type="dxa"/>
            </w:tcMar>
            <w:vAlign w:val="center"/>
          </w:tcPr>
          <w:p w14:paraId="22329045">
            <w:pPr>
              <w:spacing w:line="240" w:lineRule="auto"/>
              <w:rPr>
                <w:sz w:val="28"/>
                <w:szCs w:val="28"/>
              </w:rPr>
            </w:pPr>
            <w:r>
              <w:rPr>
                <w:rFonts w:ascii="方正黑体_GBK" w:hAnsi="方正黑体_GBK" w:eastAsia="方正黑体_GBK" w:cs="宋体"/>
                <w:sz w:val="20"/>
                <w:szCs w:val="24"/>
              </w:rPr>
              <w:t>江苏江南农村商业银行股份有限公司</w:t>
            </w:r>
          </w:p>
        </w:tc>
        <w:tc>
          <w:tcPr>
            <w:tcW w:w="4050" w:type="dxa"/>
            <w:tcMar>
              <w:left w:w="120" w:type="dxa"/>
            </w:tcMar>
            <w:vAlign w:val="center"/>
          </w:tcPr>
          <w:p w14:paraId="5AA9CC14">
            <w:pPr>
              <w:spacing w:line="240" w:lineRule="auto"/>
              <w:rPr>
                <w:sz w:val="28"/>
                <w:szCs w:val="28"/>
              </w:rPr>
            </w:pPr>
            <w:r>
              <w:rPr>
                <w:rFonts w:ascii="方正黑体_GBK" w:hAnsi="方正黑体_GBK" w:eastAsia="方正黑体_GBK" w:cs="宋体"/>
                <w:sz w:val="20"/>
                <w:szCs w:val="24"/>
              </w:rPr>
              <w:t>常州市武进区延政中路9号</w:t>
            </w:r>
          </w:p>
        </w:tc>
        <w:tc>
          <w:tcPr>
            <w:tcW w:w="1350" w:type="dxa"/>
            <w:tcMar>
              <w:left w:w="120" w:type="dxa"/>
            </w:tcMar>
            <w:vAlign w:val="center"/>
          </w:tcPr>
          <w:p w14:paraId="2348CE12">
            <w:pPr>
              <w:spacing w:line="240" w:lineRule="auto"/>
              <w:rPr>
                <w:sz w:val="28"/>
                <w:szCs w:val="28"/>
              </w:rPr>
            </w:pPr>
            <w:r>
              <w:rPr>
                <w:rFonts w:ascii="方正黑体_GBK" w:hAnsi="方正黑体_GBK" w:eastAsia="方正黑体_GBK" w:cs="宋体"/>
                <w:sz w:val="20"/>
                <w:szCs w:val="24"/>
              </w:rPr>
              <w:t>0519-96005</w:t>
            </w:r>
          </w:p>
        </w:tc>
      </w:tr>
      <w:tr w14:paraId="7B52627B">
        <w:trPr>
          <w:trHeight w:val="300" w:hRule="atLeast"/>
        </w:trPr>
        <w:tc>
          <w:tcPr>
            <w:tcW w:w="2100" w:type="dxa"/>
            <w:tcMar>
              <w:left w:w="120" w:type="dxa"/>
            </w:tcMar>
            <w:vAlign w:val="center"/>
          </w:tcPr>
          <w:p w14:paraId="3D9AD7D0">
            <w:pPr>
              <w:spacing w:line="240" w:lineRule="auto"/>
              <w:rPr>
                <w:sz w:val="28"/>
                <w:szCs w:val="28"/>
              </w:rPr>
            </w:pPr>
            <w:r>
              <w:rPr>
                <w:rFonts w:ascii="方正黑体_GBK" w:hAnsi="方正黑体_GBK" w:eastAsia="方正黑体_GBK" w:cs="宋体"/>
                <w:sz w:val="20"/>
                <w:szCs w:val="24"/>
              </w:rPr>
              <w:t>桂林银行股份有限公司</w:t>
            </w:r>
          </w:p>
        </w:tc>
        <w:tc>
          <w:tcPr>
            <w:tcW w:w="4050" w:type="dxa"/>
            <w:tcMar>
              <w:left w:w="120" w:type="dxa"/>
            </w:tcMar>
            <w:vAlign w:val="center"/>
          </w:tcPr>
          <w:p w14:paraId="3F914F9F">
            <w:pPr>
              <w:spacing w:line="240" w:lineRule="auto"/>
              <w:rPr>
                <w:sz w:val="28"/>
                <w:szCs w:val="28"/>
              </w:rPr>
            </w:pPr>
            <w:r>
              <w:rPr>
                <w:rFonts w:ascii="方正黑体_GBK" w:hAnsi="方正黑体_GBK" w:eastAsia="方正黑体_GBK" w:cs="宋体"/>
                <w:sz w:val="20"/>
                <w:szCs w:val="24"/>
              </w:rPr>
              <w:t>广西壮族自治区桂林市临桂区公园北路 8 号桂林金融大厦</w:t>
            </w:r>
          </w:p>
        </w:tc>
        <w:tc>
          <w:tcPr>
            <w:tcW w:w="1350" w:type="dxa"/>
            <w:tcMar>
              <w:left w:w="120" w:type="dxa"/>
            </w:tcMar>
            <w:vAlign w:val="center"/>
          </w:tcPr>
          <w:p w14:paraId="25A36A72">
            <w:pPr>
              <w:spacing w:line="240" w:lineRule="auto"/>
              <w:rPr>
                <w:sz w:val="28"/>
                <w:szCs w:val="28"/>
              </w:rPr>
            </w:pPr>
            <w:r>
              <w:rPr>
                <w:rFonts w:ascii="方正黑体_GBK" w:hAnsi="方正黑体_GBK" w:eastAsia="方正黑体_GBK" w:cs="宋体"/>
                <w:sz w:val="20"/>
                <w:szCs w:val="24"/>
              </w:rPr>
              <w:t>400-86-96299</w:t>
            </w:r>
          </w:p>
        </w:tc>
      </w:tr>
      <w:tr w14:paraId="7EB86AB6">
        <w:trPr>
          <w:trHeight w:val="300" w:hRule="atLeast"/>
        </w:trPr>
        <w:tc>
          <w:tcPr>
            <w:tcW w:w="2100" w:type="dxa"/>
            <w:tcMar>
              <w:left w:w="120" w:type="dxa"/>
            </w:tcMar>
            <w:vAlign w:val="center"/>
          </w:tcPr>
          <w:p w14:paraId="009A448D">
            <w:pPr>
              <w:spacing w:line="240" w:lineRule="auto"/>
              <w:rPr>
                <w:sz w:val="28"/>
                <w:szCs w:val="28"/>
              </w:rPr>
            </w:pPr>
            <w:r>
              <w:rPr>
                <w:rFonts w:ascii="方正黑体_GBK" w:hAnsi="方正黑体_GBK" w:eastAsia="方正黑体_GBK" w:cs="宋体"/>
                <w:sz w:val="20"/>
                <w:szCs w:val="24"/>
              </w:rPr>
              <w:t>富邦华一银行有限公司</w:t>
            </w:r>
          </w:p>
        </w:tc>
        <w:tc>
          <w:tcPr>
            <w:tcW w:w="4050" w:type="dxa"/>
            <w:tcMar>
              <w:left w:w="120" w:type="dxa"/>
            </w:tcMar>
            <w:vAlign w:val="center"/>
          </w:tcPr>
          <w:p w14:paraId="21234DA0">
            <w:pPr>
              <w:spacing w:line="240" w:lineRule="auto"/>
              <w:rPr>
                <w:sz w:val="28"/>
                <w:szCs w:val="28"/>
              </w:rPr>
            </w:pPr>
            <w:r>
              <w:rPr>
                <w:rFonts w:ascii="方正黑体_GBK" w:hAnsi="方正黑体_GBK" w:eastAsia="方正黑体_GBK" w:cs="宋体"/>
                <w:sz w:val="20"/>
                <w:szCs w:val="24"/>
              </w:rPr>
              <w:t>中国（上海）自由贸易试验区世纪大道1168号A座101室、18楼、19楼及20楼</w:t>
            </w:r>
          </w:p>
        </w:tc>
        <w:tc>
          <w:tcPr>
            <w:tcW w:w="1350" w:type="dxa"/>
            <w:tcMar>
              <w:left w:w="120" w:type="dxa"/>
            </w:tcMar>
            <w:vAlign w:val="center"/>
          </w:tcPr>
          <w:p w14:paraId="3BBE246D">
            <w:pPr>
              <w:spacing w:line="240" w:lineRule="auto"/>
              <w:rPr>
                <w:sz w:val="28"/>
                <w:szCs w:val="28"/>
              </w:rPr>
            </w:pPr>
            <w:r>
              <w:rPr>
                <w:rFonts w:ascii="方正黑体_GBK" w:hAnsi="方正黑体_GBK" w:eastAsia="方正黑体_GBK" w:cs="宋体"/>
                <w:sz w:val="20"/>
                <w:szCs w:val="24"/>
              </w:rPr>
              <w:t>+86-21-962811</w:t>
            </w:r>
          </w:p>
        </w:tc>
      </w:tr>
      <w:tr w14:paraId="1C623747">
        <w:trPr>
          <w:trHeight w:val="300" w:hRule="atLeast"/>
        </w:trPr>
        <w:tc>
          <w:tcPr>
            <w:tcW w:w="2100" w:type="dxa"/>
            <w:tcMar>
              <w:left w:w="120" w:type="dxa"/>
            </w:tcMar>
            <w:vAlign w:val="center"/>
          </w:tcPr>
          <w:p w14:paraId="2C2BAF74">
            <w:pPr>
              <w:spacing w:line="240" w:lineRule="auto"/>
              <w:rPr>
                <w:sz w:val="28"/>
                <w:szCs w:val="28"/>
              </w:rPr>
            </w:pPr>
            <w:r>
              <w:rPr>
                <w:rFonts w:ascii="方正黑体_GBK" w:hAnsi="方正黑体_GBK" w:eastAsia="方正黑体_GBK" w:cs="宋体"/>
                <w:sz w:val="20"/>
                <w:szCs w:val="24"/>
              </w:rPr>
              <w:t>广州银行股份有限公司</w:t>
            </w:r>
          </w:p>
        </w:tc>
        <w:tc>
          <w:tcPr>
            <w:tcW w:w="4050" w:type="dxa"/>
            <w:tcMar>
              <w:left w:w="120" w:type="dxa"/>
            </w:tcMar>
            <w:vAlign w:val="center"/>
          </w:tcPr>
          <w:p w14:paraId="616B4758">
            <w:pPr>
              <w:spacing w:line="240" w:lineRule="auto"/>
              <w:rPr>
                <w:sz w:val="28"/>
                <w:szCs w:val="28"/>
              </w:rPr>
            </w:pPr>
            <w:r>
              <w:rPr>
                <w:rFonts w:ascii="方正黑体_GBK" w:hAnsi="方正黑体_GBK" w:eastAsia="方正黑体_GBK" w:cs="宋体"/>
                <w:sz w:val="20"/>
                <w:szCs w:val="24"/>
              </w:rPr>
              <w:t>广州市天河区珠江东路30号</w:t>
            </w:r>
          </w:p>
        </w:tc>
        <w:tc>
          <w:tcPr>
            <w:tcW w:w="1350" w:type="dxa"/>
            <w:tcMar>
              <w:left w:w="120" w:type="dxa"/>
            </w:tcMar>
            <w:vAlign w:val="center"/>
          </w:tcPr>
          <w:p w14:paraId="441A014B">
            <w:pPr>
              <w:spacing w:line="240" w:lineRule="auto"/>
              <w:rPr>
                <w:sz w:val="28"/>
                <w:szCs w:val="28"/>
              </w:rPr>
            </w:pPr>
            <w:r>
              <w:rPr>
                <w:rFonts w:ascii="方正黑体_GBK" w:hAnsi="方正黑体_GBK" w:eastAsia="方正黑体_GBK" w:cs="宋体"/>
                <w:sz w:val="20"/>
                <w:szCs w:val="24"/>
              </w:rPr>
              <w:t>400-83-96699</w:t>
            </w:r>
          </w:p>
        </w:tc>
      </w:tr>
      <w:tr w14:paraId="6728ECBB">
        <w:trPr>
          <w:trHeight w:val="300" w:hRule="atLeast"/>
        </w:trPr>
        <w:tc>
          <w:tcPr>
            <w:tcW w:w="2100" w:type="dxa"/>
            <w:tcMar>
              <w:left w:w="120" w:type="dxa"/>
            </w:tcMar>
            <w:vAlign w:val="center"/>
          </w:tcPr>
          <w:p w14:paraId="40CC1BF8">
            <w:pPr>
              <w:spacing w:line="240" w:lineRule="auto"/>
              <w:rPr>
                <w:sz w:val="28"/>
                <w:szCs w:val="28"/>
              </w:rPr>
            </w:pPr>
            <w:r>
              <w:rPr>
                <w:rFonts w:ascii="方正黑体_GBK" w:hAnsi="方正黑体_GBK" w:eastAsia="方正黑体_GBK" w:cs="宋体"/>
                <w:sz w:val="20"/>
                <w:szCs w:val="24"/>
              </w:rPr>
              <w:t>无锡农村商业银行股份有限公司</w:t>
            </w:r>
          </w:p>
        </w:tc>
        <w:tc>
          <w:tcPr>
            <w:tcW w:w="4050" w:type="dxa"/>
            <w:tcMar>
              <w:left w:w="120" w:type="dxa"/>
            </w:tcMar>
            <w:vAlign w:val="center"/>
          </w:tcPr>
          <w:p w14:paraId="63826943">
            <w:pPr>
              <w:spacing w:line="240" w:lineRule="auto"/>
              <w:rPr>
                <w:sz w:val="28"/>
                <w:szCs w:val="28"/>
              </w:rPr>
            </w:pPr>
            <w:r>
              <w:rPr>
                <w:rFonts w:ascii="方正黑体_GBK" w:hAnsi="方正黑体_GBK" w:eastAsia="方正黑体_GBK" w:cs="宋体"/>
                <w:sz w:val="20"/>
                <w:szCs w:val="24"/>
              </w:rPr>
              <w:t>江苏省无锡市锡山区延庆街11号、丹山路66-3、 66-1301、 66-1401号</w:t>
            </w:r>
          </w:p>
        </w:tc>
        <w:tc>
          <w:tcPr>
            <w:tcW w:w="1350" w:type="dxa"/>
            <w:tcMar>
              <w:left w:w="120" w:type="dxa"/>
            </w:tcMar>
            <w:vAlign w:val="center"/>
          </w:tcPr>
          <w:p w14:paraId="5EF01119">
            <w:pPr>
              <w:spacing w:line="240" w:lineRule="auto"/>
              <w:rPr>
                <w:sz w:val="28"/>
                <w:szCs w:val="28"/>
              </w:rPr>
            </w:pPr>
            <w:r>
              <w:rPr>
                <w:rFonts w:ascii="方正黑体_GBK" w:hAnsi="方正黑体_GBK" w:eastAsia="方正黑体_GBK" w:cs="宋体"/>
                <w:sz w:val="20"/>
                <w:szCs w:val="24"/>
              </w:rPr>
              <w:t>0510-96058</w:t>
            </w:r>
          </w:p>
        </w:tc>
      </w:tr>
      <w:tr w14:paraId="4203FF80">
        <w:trPr>
          <w:trHeight w:val="300" w:hRule="atLeast"/>
        </w:trPr>
        <w:tc>
          <w:tcPr>
            <w:tcW w:w="2100" w:type="dxa"/>
            <w:tcMar>
              <w:left w:w="120" w:type="dxa"/>
            </w:tcMar>
            <w:vAlign w:val="center"/>
          </w:tcPr>
          <w:p w14:paraId="78CA84E8">
            <w:pPr>
              <w:spacing w:line="240" w:lineRule="auto"/>
              <w:rPr>
                <w:sz w:val="28"/>
                <w:szCs w:val="28"/>
              </w:rPr>
            </w:pPr>
            <w:r>
              <w:rPr>
                <w:rFonts w:ascii="方正黑体_GBK" w:hAnsi="方正黑体_GBK" w:eastAsia="方正黑体_GBK" w:cs="宋体"/>
                <w:sz w:val="20"/>
                <w:szCs w:val="24"/>
              </w:rPr>
              <w:t>石嘴山银行股份有限公司</w:t>
            </w:r>
          </w:p>
        </w:tc>
        <w:tc>
          <w:tcPr>
            <w:tcW w:w="4050" w:type="dxa"/>
            <w:tcMar>
              <w:left w:w="120" w:type="dxa"/>
            </w:tcMar>
            <w:vAlign w:val="center"/>
          </w:tcPr>
          <w:p w14:paraId="0F9750F4">
            <w:pPr>
              <w:spacing w:line="240" w:lineRule="auto"/>
              <w:rPr>
                <w:sz w:val="28"/>
                <w:szCs w:val="28"/>
              </w:rPr>
            </w:pPr>
            <w:r>
              <w:rPr>
                <w:rFonts w:ascii="方正黑体_GBK" w:hAnsi="方正黑体_GBK" w:eastAsia="方正黑体_GBK" w:cs="宋体"/>
                <w:sz w:val="20"/>
                <w:szCs w:val="24"/>
              </w:rPr>
              <w:t>宁夏回族自治区石嘴山市大武口区朝阳西街 39 号</w:t>
            </w:r>
          </w:p>
        </w:tc>
        <w:tc>
          <w:tcPr>
            <w:tcW w:w="1350" w:type="dxa"/>
            <w:tcMar>
              <w:left w:w="120" w:type="dxa"/>
            </w:tcMar>
            <w:vAlign w:val="center"/>
          </w:tcPr>
          <w:p w14:paraId="082CC50F">
            <w:pPr>
              <w:spacing w:line="240" w:lineRule="auto"/>
              <w:rPr>
                <w:sz w:val="28"/>
                <w:szCs w:val="28"/>
              </w:rPr>
            </w:pPr>
            <w:r>
              <w:rPr>
                <w:rFonts w:ascii="方正黑体_GBK" w:hAnsi="方正黑体_GBK" w:eastAsia="方正黑体_GBK" w:cs="宋体"/>
                <w:sz w:val="20"/>
                <w:szCs w:val="24"/>
              </w:rPr>
              <w:t>0951-96789</w:t>
            </w:r>
          </w:p>
        </w:tc>
      </w:tr>
      <w:tr w14:paraId="4CCAA041">
        <w:trPr>
          <w:trHeight w:val="300" w:hRule="atLeast"/>
        </w:trPr>
        <w:tc>
          <w:tcPr>
            <w:tcW w:w="2100" w:type="dxa"/>
            <w:tcMar>
              <w:left w:w="120" w:type="dxa"/>
            </w:tcMar>
            <w:vAlign w:val="center"/>
          </w:tcPr>
          <w:p w14:paraId="6CBC0F6D">
            <w:pPr>
              <w:spacing w:line="240" w:lineRule="auto"/>
              <w:rPr>
                <w:sz w:val="28"/>
                <w:szCs w:val="28"/>
              </w:rPr>
            </w:pPr>
            <w:r>
              <w:rPr>
                <w:rFonts w:ascii="方正黑体_GBK" w:hAnsi="方正黑体_GBK" w:eastAsia="方正黑体_GBK" w:cs="宋体"/>
                <w:sz w:val="20"/>
                <w:szCs w:val="24"/>
              </w:rPr>
              <w:t>无锡锡商银行股份有限公司</w:t>
            </w:r>
          </w:p>
        </w:tc>
        <w:tc>
          <w:tcPr>
            <w:tcW w:w="4050" w:type="dxa"/>
            <w:tcMar>
              <w:left w:w="120" w:type="dxa"/>
            </w:tcMar>
            <w:vAlign w:val="center"/>
          </w:tcPr>
          <w:p w14:paraId="0B557D47">
            <w:pPr>
              <w:spacing w:line="240" w:lineRule="auto"/>
              <w:rPr>
                <w:sz w:val="28"/>
                <w:szCs w:val="28"/>
              </w:rPr>
            </w:pPr>
            <w:r>
              <w:rPr>
                <w:rFonts w:ascii="方正黑体_GBK" w:hAnsi="方正黑体_GBK" w:eastAsia="方正黑体_GBK" w:cs="宋体"/>
                <w:sz w:val="20"/>
                <w:szCs w:val="24"/>
              </w:rPr>
              <w:t>江苏省无锡市锡山区安镇街道东翔路578号红豆财富广场1-2层、5-11层</w:t>
            </w:r>
          </w:p>
        </w:tc>
        <w:tc>
          <w:tcPr>
            <w:tcW w:w="1350" w:type="dxa"/>
            <w:tcMar>
              <w:left w:w="120" w:type="dxa"/>
            </w:tcMar>
            <w:vAlign w:val="center"/>
          </w:tcPr>
          <w:p w14:paraId="3BB3AE64">
            <w:pPr>
              <w:spacing w:line="240" w:lineRule="auto"/>
              <w:rPr>
                <w:sz w:val="28"/>
                <w:szCs w:val="28"/>
              </w:rPr>
            </w:pPr>
            <w:r>
              <w:rPr>
                <w:rFonts w:ascii="方正黑体_GBK" w:hAnsi="方正黑体_GBK" w:eastAsia="方正黑体_GBK" w:cs="宋体"/>
                <w:sz w:val="20"/>
                <w:szCs w:val="24"/>
              </w:rPr>
              <w:t>400-888-0555</w:t>
            </w:r>
          </w:p>
        </w:tc>
      </w:tr>
      <w:tr w14:paraId="72AABEAA">
        <w:trPr>
          <w:trHeight w:val="300" w:hRule="atLeast"/>
        </w:trPr>
        <w:tc>
          <w:tcPr>
            <w:tcW w:w="2100" w:type="dxa"/>
            <w:tcMar>
              <w:left w:w="120" w:type="dxa"/>
            </w:tcMar>
            <w:vAlign w:val="center"/>
          </w:tcPr>
          <w:p w14:paraId="0BF30D2D">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050" w:type="dxa"/>
            <w:tcMar>
              <w:left w:w="120" w:type="dxa"/>
            </w:tcMar>
            <w:vAlign w:val="center"/>
          </w:tcPr>
          <w:p w14:paraId="2DBC0847">
            <w:pPr>
              <w:spacing w:line="240" w:lineRule="auto"/>
              <w:rPr>
                <w:sz w:val="28"/>
                <w:szCs w:val="28"/>
              </w:rPr>
            </w:pPr>
            <w:r>
              <w:rPr>
                <w:rFonts w:ascii="方正黑体_GBK" w:hAnsi="方正黑体_GBK" w:eastAsia="方正黑体_GBK" w:cs="宋体"/>
                <w:sz w:val="20"/>
                <w:szCs w:val="24"/>
              </w:rPr>
              <w:t>镇江市丹阳金陵西路152号</w:t>
            </w:r>
          </w:p>
        </w:tc>
        <w:tc>
          <w:tcPr>
            <w:tcW w:w="1350" w:type="dxa"/>
            <w:tcMar>
              <w:left w:w="120" w:type="dxa"/>
            </w:tcMar>
            <w:vAlign w:val="center"/>
          </w:tcPr>
          <w:p w14:paraId="407FE267">
            <w:pPr>
              <w:spacing w:line="240" w:lineRule="auto"/>
              <w:rPr>
                <w:sz w:val="28"/>
                <w:szCs w:val="28"/>
              </w:rPr>
            </w:pPr>
            <w:r>
              <w:rPr>
                <w:rFonts w:ascii="方正黑体_GBK" w:hAnsi="方正黑体_GBK" w:eastAsia="方正黑体_GBK" w:cs="宋体"/>
                <w:sz w:val="20"/>
                <w:szCs w:val="24"/>
              </w:rPr>
              <w:t>96008</w:t>
            </w:r>
          </w:p>
        </w:tc>
      </w:tr>
      <w:tr w14:paraId="70DAFE7A">
        <w:trPr>
          <w:trHeight w:val="300" w:hRule="atLeast"/>
        </w:trPr>
        <w:tc>
          <w:tcPr>
            <w:tcW w:w="2100" w:type="dxa"/>
            <w:tcMar>
              <w:left w:w="120" w:type="dxa"/>
            </w:tcMar>
            <w:vAlign w:val="center"/>
          </w:tcPr>
          <w:p w14:paraId="0FC5F50E">
            <w:pPr>
              <w:spacing w:line="240" w:lineRule="auto"/>
              <w:rPr>
                <w:sz w:val="28"/>
                <w:szCs w:val="28"/>
              </w:rPr>
            </w:pPr>
            <w:r>
              <w:rPr>
                <w:rFonts w:ascii="方正黑体_GBK" w:hAnsi="方正黑体_GBK" w:eastAsia="方正黑体_GBK" w:cs="宋体"/>
                <w:sz w:val="20"/>
                <w:szCs w:val="24"/>
              </w:rPr>
              <w:t>江苏宜兴农村商业银行股份有限公司</w:t>
            </w:r>
          </w:p>
        </w:tc>
        <w:tc>
          <w:tcPr>
            <w:tcW w:w="4050" w:type="dxa"/>
            <w:tcMar>
              <w:left w:w="120" w:type="dxa"/>
            </w:tcMar>
            <w:vAlign w:val="center"/>
          </w:tcPr>
          <w:p w14:paraId="5E2C8117">
            <w:pPr>
              <w:spacing w:line="240" w:lineRule="auto"/>
              <w:rPr>
                <w:sz w:val="28"/>
                <w:szCs w:val="28"/>
              </w:rPr>
            </w:pPr>
            <w:r>
              <w:rPr>
                <w:rFonts w:ascii="方正黑体_GBK" w:hAnsi="方正黑体_GBK" w:eastAsia="方正黑体_GBK" w:cs="宋体"/>
                <w:sz w:val="20"/>
                <w:szCs w:val="24"/>
              </w:rPr>
              <w:t>江苏省宜兴市宜城街道解放东路579号</w:t>
            </w:r>
          </w:p>
        </w:tc>
        <w:tc>
          <w:tcPr>
            <w:tcW w:w="1350" w:type="dxa"/>
            <w:tcMar>
              <w:left w:w="120" w:type="dxa"/>
            </w:tcMar>
            <w:vAlign w:val="center"/>
          </w:tcPr>
          <w:p w14:paraId="29F0ACCD">
            <w:pPr>
              <w:spacing w:line="240" w:lineRule="auto"/>
              <w:rPr>
                <w:sz w:val="28"/>
                <w:szCs w:val="28"/>
              </w:rPr>
            </w:pPr>
            <w:r>
              <w:rPr>
                <w:rFonts w:ascii="方正黑体_GBK" w:hAnsi="方正黑体_GBK" w:eastAsia="方正黑体_GBK" w:cs="宋体"/>
                <w:sz w:val="20"/>
                <w:szCs w:val="24"/>
              </w:rPr>
              <w:t>96008</w:t>
            </w:r>
          </w:p>
        </w:tc>
      </w:tr>
      <w:tr w14:paraId="7D736483">
        <w:trPr>
          <w:trHeight w:val="300" w:hRule="atLeast"/>
        </w:trPr>
        <w:tc>
          <w:tcPr>
            <w:tcW w:w="2100" w:type="dxa"/>
            <w:tcMar>
              <w:left w:w="120" w:type="dxa"/>
            </w:tcMar>
            <w:vAlign w:val="center"/>
          </w:tcPr>
          <w:p w14:paraId="54F1D38C">
            <w:pPr>
              <w:spacing w:line="240" w:lineRule="auto"/>
              <w:rPr>
                <w:sz w:val="28"/>
                <w:szCs w:val="28"/>
              </w:rPr>
            </w:pPr>
            <w:r>
              <w:rPr>
                <w:rFonts w:ascii="方正黑体_GBK" w:hAnsi="方正黑体_GBK" w:eastAsia="方正黑体_GBK" w:cs="宋体"/>
                <w:sz w:val="20"/>
                <w:szCs w:val="24"/>
              </w:rPr>
              <w:t>江苏高淳农村商业银行股份有限公司</w:t>
            </w:r>
          </w:p>
        </w:tc>
        <w:tc>
          <w:tcPr>
            <w:tcW w:w="4050" w:type="dxa"/>
            <w:tcMar>
              <w:left w:w="120" w:type="dxa"/>
            </w:tcMar>
            <w:vAlign w:val="center"/>
          </w:tcPr>
          <w:p w14:paraId="7F692482">
            <w:pPr>
              <w:spacing w:line="240" w:lineRule="auto"/>
              <w:rPr>
                <w:sz w:val="28"/>
                <w:szCs w:val="28"/>
              </w:rPr>
            </w:pPr>
            <w:r>
              <w:rPr>
                <w:rFonts w:ascii="方正黑体_GBK" w:hAnsi="方正黑体_GBK" w:eastAsia="方正黑体_GBK" w:cs="宋体"/>
                <w:sz w:val="20"/>
                <w:szCs w:val="24"/>
              </w:rPr>
              <w:t>南京市高淳区淳溪镇宝塔路123号</w:t>
            </w:r>
          </w:p>
        </w:tc>
        <w:tc>
          <w:tcPr>
            <w:tcW w:w="1350" w:type="dxa"/>
            <w:tcMar>
              <w:left w:w="120" w:type="dxa"/>
            </w:tcMar>
            <w:vAlign w:val="center"/>
          </w:tcPr>
          <w:p w14:paraId="5DC279C5">
            <w:pPr>
              <w:spacing w:line="240" w:lineRule="auto"/>
              <w:rPr>
                <w:sz w:val="28"/>
                <w:szCs w:val="28"/>
              </w:rPr>
            </w:pPr>
            <w:r>
              <w:rPr>
                <w:rFonts w:ascii="方正黑体_GBK" w:hAnsi="方正黑体_GBK" w:eastAsia="方正黑体_GBK" w:cs="宋体"/>
                <w:sz w:val="20"/>
                <w:szCs w:val="24"/>
              </w:rPr>
              <w:t>96008</w:t>
            </w:r>
          </w:p>
        </w:tc>
      </w:tr>
      <w:tr w14:paraId="3E88B778">
        <w:trPr>
          <w:trHeight w:val="300" w:hRule="atLeast"/>
        </w:trPr>
        <w:tc>
          <w:tcPr>
            <w:tcW w:w="2100" w:type="dxa"/>
            <w:tcMar>
              <w:left w:w="120" w:type="dxa"/>
            </w:tcMar>
            <w:vAlign w:val="center"/>
          </w:tcPr>
          <w:p w14:paraId="34E1C7A5">
            <w:pPr>
              <w:spacing w:line="240" w:lineRule="auto"/>
              <w:rPr>
                <w:sz w:val="28"/>
                <w:szCs w:val="28"/>
              </w:rPr>
            </w:pPr>
            <w:r>
              <w:rPr>
                <w:rFonts w:ascii="方正黑体_GBK" w:hAnsi="方正黑体_GBK" w:eastAsia="方正黑体_GBK" w:cs="宋体"/>
                <w:sz w:val="20"/>
                <w:szCs w:val="24"/>
              </w:rPr>
              <w:t>江苏泰兴农村商业银行股份有限公司</w:t>
            </w:r>
          </w:p>
        </w:tc>
        <w:tc>
          <w:tcPr>
            <w:tcW w:w="4050" w:type="dxa"/>
            <w:tcMar>
              <w:left w:w="120" w:type="dxa"/>
            </w:tcMar>
            <w:vAlign w:val="center"/>
          </w:tcPr>
          <w:p w14:paraId="3CBE6F75">
            <w:pPr>
              <w:spacing w:line="240" w:lineRule="auto"/>
              <w:rPr>
                <w:sz w:val="28"/>
                <w:szCs w:val="28"/>
              </w:rPr>
            </w:pPr>
            <w:r>
              <w:rPr>
                <w:rFonts w:ascii="方正黑体_GBK" w:hAnsi="方正黑体_GBK" w:eastAsia="方正黑体_GBK" w:cs="宋体"/>
                <w:sz w:val="20"/>
                <w:szCs w:val="24"/>
              </w:rPr>
              <w:t>泰兴市国庆东路166号</w:t>
            </w:r>
          </w:p>
        </w:tc>
        <w:tc>
          <w:tcPr>
            <w:tcW w:w="1350" w:type="dxa"/>
            <w:tcMar>
              <w:left w:w="120" w:type="dxa"/>
            </w:tcMar>
            <w:vAlign w:val="center"/>
          </w:tcPr>
          <w:p w14:paraId="38AE0F55">
            <w:pPr>
              <w:spacing w:line="240" w:lineRule="auto"/>
              <w:rPr>
                <w:sz w:val="28"/>
                <w:szCs w:val="28"/>
              </w:rPr>
            </w:pPr>
            <w:r>
              <w:rPr>
                <w:rFonts w:ascii="方正黑体_GBK" w:hAnsi="方正黑体_GBK" w:eastAsia="方正黑体_GBK" w:cs="宋体"/>
                <w:sz w:val="20"/>
                <w:szCs w:val="24"/>
              </w:rPr>
              <w:t>96008</w:t>
            </w:r>
          </w:p>
        </w:tc>
      </w:tr>
      <w:tr w14:paraId="01369785">
        <w:trPr>
          <w:trHeight w:val="300" w:hRule="atLeast"/>
        </w:trPr>
        <w:tc>
          <w:tcPr>
            <w:tcW w:w="2100" w:type="dxa"/>
            <w:tcMar>
              <w:left w:w="120" w:type="dxa"/>
            </w:tcMar>
            <w:vAlign w:val="center"/>
          </w:tcPr>
          <w:p w14:paraId="15928F6A">
            <w:pPr>
              <w:spacing w:line="240" w:lineRule="auto"/>
              <w:rPr>
                <w:sz w:val="28"/>
                <w:szCs w:val="28"/>
              </w:rPr>
            </w:pPr>
            <w:r>
              <w:rPr>
                <w:rFonts w:ascii="方正黑体_GBK" w:hAnsi="方正黑体_GBK" w:eastAsia="方正黑体_GBK" w:cs="宋体"/>
                <w:sz w:val="20"/>
                <w:szCs w:val="24"/>
              </w:rPr>
              <w:t>江苏响水农村商业银行股份有限公司</w:t>
            </w:r>
          </w:p>
        </w:tc>
        <w:tc>
          <w:tcPr>
            <w:tcW w:w="4050" w:type="dxa"/>
            <w:tcMar>
              <w:left w:w="120" w:type="dxa"/>
            </w:tcMar>
            <w:vAlign w:val="center"/>
          </w:tcPr>
          <w:p w14:paraId="389026DE">
            <w:pPr>
              <w:spacing w:line="240" w:lineRule="auto"/>
              <w:rPr>
                <w:sz w:val="28"/>
                <w:szCs w:val="28"/>
              </w:rPr>
            </w:pPr>
            <w:r>
              <w:rPr>
                <w:rFonts w:ascii="方正黑体_GBK" w:hAnsi="方正黑体_GBK" w:eastAsia="方正黑体_GBK" w:cs="宋体"/>
                <w:sz w:val="20"/>
                <w:szCs w:val="24"/>
              </w:rPr>
              <w:t>江苏省响水县双园东路北侧</w:t>
            </w:r>
          </w:p>
        </w:tc>
        <w:tc>
          <w:tcPr>
            <w:tcW w:w="1350" w:type="dxa"/>
            <w:tcMar>
              <w:left w:w="120" w:type="dxa"/>
            </w:tcMar>
            <w:vAlign w:val="center"/>
          </w:tcPr>
          <w:p w14:paraId="18A6A0AE">
            <w:pPr>
              <w:spacing w:line="240" w:lineRule="auto"/>
              <w:rPr>
                <w:sz w:val="28"/>
                <w:szCs w:val="28"/>
              </w:rPr>
            </w:pPr>
            <w:r>
              <w:rPr>
                <w:rFonts w:ascii="方正黑体_GBK" w:hAnsi="方正黑体_GBK" w:eastAsia="方正黑体_GBK" w:cs="宋体"/>
                <w:sz w:val="20"/>
                <w:szCs w:val="24"/>
              </w:rPr>
              <w:t>96008</w:t>
            </w:r>
          </w:p>
        </w:tc>
      </w:tr>
      <w:tr w14:paraId="65298E4A">
        <w:trPr>
          <w:trHeight w:val="300" w:hRule="atLeast"/>
        </w:trPr>
        <w:tc>
          <w:tcPr>
            <w:tcW w:w="2100" w:type="dxa"/>
            <w:tcMar>
              <w:left w:w="120" w:type="dxa"/>
            </w:tcMar>
            <w:vAlign w:val="center"/>
          </w:tcPr>
          <w:p w14:paraId="4C502516">
            <w:pPr>
              <w:spacing w:line="240" w:lineRule="auto"/>
              <w:rPr>
                <w:sz w:val="28"/>
                <w:szCs w:val="28"/>
              </w:rPr>
            </w:pPr>
            <w:r>
              <w:rPr>
                <w:rFonts w:ascii="方正黑体_GBK" w:hAnsi="方正黑体_GBK" w:eastAsia="方正黑体_GBK" w:cs="宋体"/>
                <w:sz w:val="20"/>
                <w:szCs w:val="24"/>
              </w:rPr>
              <w:t>江苏靖江农村商业银行股份有限公司</w:t>
            </w:r>
          </w:p>
        </w:tc>
        <w:tc>
          <w:tcPr>
            <w:tcW w:w="4050" w:type="dxa"/>
            <w:tcMar>
              <w:left w:w="120" w:type="dxa"/>
            </w:tcMar>
            <w:vAlign w:val="center"/>
          </w:tcPr>
          <w:p w14:paraId="7AEC25F8">
            <w:pPr>
              <w:spacing w:line="240" w:lineRule="auto"/>
              <w:rPr>
                <w:sz w:val="28"/>
                <w:szCs w:val="28"/>
              </w:rPr>
            </w:pPr>
            <w:r>
              <w:rPr>
                <w:rFonts w:ascii="方正黑体_GBK" w:hAnsi="方正黑体_GBK" w:eastAsia="方正黑体_GBK" w:cs="宋体"/>
                <w:sz w:val="20"/>
                <w:szCs w:val="24"/>
              </w:rPr>
              <w:t>江苏省靖江市南环西路12号</w:t>
            </w:r>
          </w:p>
        </w:tc>
        <w:tc>
          <w:tcPr>
            <w:tcW w:w="1350" w:type="dxa"/>
            <w:tcMar>
              <w:left w:w="120" w:type="dxa"/>
            </w:tcMar>
            <w:vAlign w:val="center"/>
          </w:tcPr>
          <w:p w14:paraId="2C4B6920">
            <w:pPr>
              <w:spacing w:line="240" w:lineRule="auto"/>
              <w:rPr>
                <w:sz w:val="28"/>
                <w:szCs w:val="28"/>
              </w:rPr>
            </w:pPr>
            <w:r>
              <w:rPr>
                <w:rFonts w:ascii="方正黑体_GBK" w:hAnsi="方正黑体_GBK" w:eastAsia="方正黑体_GBK" w:cs="宋体"/>
                <w:sz w:val="20"/>
                <w:szCs w:val="24"/>
              </w:rPr>
              <w:t>96008</w:t>
            </w:r>
          </w:p>
        </w:tc>
      </w:tr>
      <w:tr w14:paraId="212DEFD5">
        <w:trPr>
          <w:trHeight w:val="300" w:hRule="atLeast"/>
        </w:trPr>
        <w:tc>
          <w:tcPr>
            <w:tcW w:w="2100" w:type="dxa"/>
            <w:tcMar>
              <w:left w:w="120" w:type="dxa"/>
            </w:tcMar>
            <w:vAlign w:val="center"/>
          </w:tcPr>
          <w:p w14:paraId="560BE7F9">
            <w:pPr>
              <w:spacing w:line="240" w:lineRule="auto"/>
              <w:rPr>
                <w:sz w:val="28"/>
                <w:szCs w:val="28"/>
              </w:rPr>
            </w:pPr>
            <w:r>
              <w:rPr>
                <w:rFonts w:ascii="方正黑体_GBK" w:hAnsi="方正黑体_GBK" w:eastAsia="方正黑体_GBK" w:cs="宋体"/>
                <w:sz w:val="20"/>
                <w:szCs w:val="24"/>
              </w:rPr>
              <w:t>江苏民丰农村商业银行股份有限公司</w:t>
            </w:r>
          </w:p>
        </w:tc>
        <w:tc>
          <w:tcPr>
            <w:tcW w:w="4050" w:type="dxa"/>
            <w:tcMar>
              <w:left w:w="120" w:type="dxa"/>
            </w:tcMar>
            <w:vAlign w:val="center"/>
          </w:tcPr>
          <w:p w14:paraId="29E9AC90">
            <w:pPr>
              <w:spacing w:line="240" w:lineRule="auto"/>
              <w:rPr>
                <w:sz w:val="28"/>
                <w:szCs w:val="28"/>
              </w:rPr>
            </w:pPr>
            <w:r>
              <w:rPr>
                <w:rFonts w:ascii="方正黑体_GBK" w:hAnsi="方正黑体_GBK" w:eastAsia="方正黑体_GBK" w:cs="宋体"/>
                <w:sz w:val="20"/>
                <w:szCs w:val="24"/>
              </w:rPr>
              <w:t>江苏省宿迁市宿城区高宝湖路1号</w:t>
            </w:r>
          </w:p>
        </w:tc>
        <w:tc>
          <w:tcPr>
            <w:tcW w:w="1350" w:type="dxa"/>
            <w:tcMar>
              <w:left w:w="120" w:type="dxa"/>
            </w:tcMar>
            <w:vAlign w:val="center"/>
          </w:tcPr>
          <w:p w14:paraId="7B0E4608">
            <w:pPr>
              <w:spacing w:line="240" w:lineRule="auto"/>
              <w:rPr>
                <w:sz w:val="28"/>
                <w:szCs w:val="28"/>
              </w:rPr>
            </w:pPr>
            <w:r>
              <w:rPr>
                <w:rFonts w:ascii="方正黑体_GBK" w:hAnsi="方正黑体_GBK" w:eastAsia="方正黑体_GBK" w:cs="宋体"/>
                <w:sz w:val="20"/>
                <w:szCs w:val="24"/>
              </w:rPr>
              <w:t>96008</w:t>
            </w:r>
          </w:p>
        </w:tc>
      </w:tr>
      <w:tr w14:paraId="3E6DA0F8">
        <w:trPr>
          <w:trHeight w:val="300" w:hRule="atLeast"/>
        </w:trPr>
        <w:tc>
          <w:tcPr>
            <w:tcW w:w="2100" w:type="dxa"/>
            <w:tcMar>
              <w:left w:w="120" w:type="dxa"/>
            </w:tcMar>
            <w:vAlign w:val="center"/>
          </w:tcPr>
          <w:p w14:paraId="535F840B">
            <w:pPr>
              <w:spacing w:line="240" w:lineRule="auto"/>
              <w:rPr>
                <w:sz w:val="28"/>
                <w:szCs w:val="28"/>
              </w:rPr>
            </w:pPr>
            <w:r>
              <w:rPr>
                <w:rFonts w:ascii="方正黑体_GBK" w:hAnsi="方正黑体_GBK" w:eastAsia="方正黑体_GBK" w:cs="宋体"/>
                <w:sz w:val="20"/>
                <w:szCs w:val="24"/>
              </w:rPr>
              <w:t>江苏建湖农村商业银行股份有限公司</w:t>
            </w:r>
          </w:p>
        </w:tc>
        <w:tc>
          <w:tcPr>
            <w:tcW w:w="4050" w:type="dxa"/>
            <w:tcMar>
              <w:left w:w="120" w:type="dxa"/>
            </w:tcMar>
            <w:vAlign w:val="center"/>
          </w:tcPr>
          <w:p w14:paraId="08BA363D">
            <w:pPr>
              <w:spacing w:line="240" w:lineRule="auto"/>
              <w:rPr>
                <w:sz w:val="28"/>
                <w:szCs w:val="28"/>
              </w:rPr>
            </w:pPr>
            <w:r>
              <w:rPr>
                <w:rFonts w:ascii="方正黑体_GBK" w:hAnsi="方正黑体_GBK" w:eastAsia="方正黑体_GBK" w:cs="宋体"/>
                <w:sz w:val="20"/>
                <w:szCs w:val="24"/>
              </w:rPr>
              <w:t>江苏省建湖县湖中南路958号</w:t>
            </w:r>
          </w:p>
        </w:tc>
        <w:tc>
          <w:tcPr>
            <w:tcW w:w="1350" w:type="dxa"/>
            <w:tcMar>
              <w:left w:w="120" w:type="dxa"/>
            </w:tcMar>
            <w:vAlign w:val="center"/>
          </w:tcPr>
          <w:p w14:paraId="5C5C7975">
            <w:pPr>
              <w:spacing w:line="240" w:lineRule="auto"/>
              <w:rPr>
                <w:sz w:val="28"/>
                <w:szCs w:val="28"/>
              </w:rPr>
            </w:pPr>
            <w:r>
              <w:rPr>
                <w:rFonts w:ascii="方正黑体_GBK" w:hAnsi="方正黑体_GBK" w:eastAsia="方正黑体_GBK" w:cs="宋体"/>
                <w:sz w:val="20"/>
                <w:szCs w:val="24"/>
              </w:rPr>
              <w:t>96008</w:t>
            </w:r>
          </w:p>
        </w:tc>
      </w:tr>
      <w:tr w14:paraId="1D3A33C4">
        <w:trPr>
          <w:trHeight w:val="300" w:hRule="atLeast"/>
        </w:trPr>
        <w:tc>
          <w:tcPr>
            <w:tcW w:w="2100" w:type="dxa"/>
            <w:tcMar>
              <w:left w:w="120" w:type="dxa"/>
            </w:tcMar>
            <w:vAlign w:val="center"/>
          </w:tcPr>
          <w:p w14:paraId="7F83D7BD">
            <w:pPr>
              <w:spacing w:line="240" w:lineRule="auto"/>
              <w:rPr>
                <w:sz w:val="28"/>
                <w:szCs w:val="28"/>
              </w:rPr>
            </w:pPr>
            <w:r>
              <w:rPr>
                <w:rFonts w:ascii="方正黑体_GBK" w:hAnsi="方正黑体_GBK" w:eastAsia="方正黑体_GBK" w:cs="宋体"/>
                <w:sz w:val="20"/>
                <w:szCs w:val="24"/>
              </w:rPr>
              <w:t>江苏东台农村商业银行股份有限公司</w:t>
            </w:r>
          </w:p>
        </w:tc>
        <w:tc>
          <w:tcPr>
            <w:tcW w:w="4050" w:type="dxa"/>
            <w:tcMar>
              <w:left w:w="120" w:type="dxa"/>
            </w:tcMar>
            <w:vAlign w:val="center"/>
          </w:tcPr>
          <w:p w14:paraId="4429FD44">
            <w:pPr>
              <w:spacing w:line="240" w:lineRule="auto"/>
              <w:rPr>
                <w:sz w:val="28"/>
                <w:szCs w:val="28"/>
              </w:rPr>
            </w:pPr>
            <w:r>
              <w:rPr>
                <w:rFonts w:ascii="方正黑体_GBK" w:hAnsi="方正黑体_GBK" w:eastAsia="方正黑体_GBK" w:cs="宋体"/>
                <w:sz w:val="20"/>
                <w:szCs w:val="24"/>
              </w:rPr>
              <w:t>东台市东城大道10号</w:t>
            </w:r>
          </w:p>
        </w:tc>
        <w:tc>
          <w:tcPr>
            <w:tcW w:w="1350" w:type="dxa"/>
            <w:tcMar>
              <w:left w:w="120" w:type="dxa"/>
            </w:tcMar>
            <w:vAlign w:val="center"/>
          </w:tcPr>
          <w:p w14:paraId="66EB292E">
            <w:pPr>
              <w:spacing w:line="240" w:lineRule="auto"/>
              <w:rPr>
                <w:sz w:val="28"/>
                <w:szCs w:val="28"/>
              </w:rPr>
            </w:pPr>
            <w:r>
              <w:rPr>
                <w:rFonts w:ascii="方正黑体_GBK" w:hAnsi="方正黑体_GBK" w:eastAsia="方正黑体_GBK" w:cs="宋体"/>
                <w:sz w:val="20"/>
                <w:szCs w:val="24"/>
              </w:rPr>
              <w:t>96008</w:t>
            </w:r>
          </w:p>
        </w:tc>
      </w:tr>
      <w:tr w14:paraId="34E36097">
        <w:trPr>
          <w:trHeight w:val="300" w:hRule="atLeast"/>
        </w:trPr>
        <w:tc>
          <w:tcPr>
            <w:tcW w:w="2100" w:type="dxa"/>
            <w:tcMar>
              <w:left w:w="120" w:type="dxa"/>
            </w:tcMar>
            <w:vAlign w:val="center"/>
          </w:tcPr>
          <w:p w14:paraId="1318037B">
            <w:pPr>
              <w:spacing w:line="240" w:lineRule="auto"/>
              <w:rPr>
                <w:sz w:val="28"/>
                <w:szCs w:val="28"/>
              </w:rPr>
            </w:pPr>
            <w:r>
              <w:rPr>
                <w:rFonts w:ascii="方正黑体_GBK" w:hAnsi="方正黑体_GBK" w:eastAsia="方正黑体_GBK" w:cs="宋体"/>
                <w:sz w:val="20"/>
                <w:szCs w:val="24"/>
              </w:rPr>
              <w:t>江苏溧水农村商业银行股份有限公司</w:t>
            </w:r>
          </w:p>
        </w:tc>
        <w:tc>
          <w:tcPr>
            <w:tcW w:w="4050" w:type="dxa"/>
            <w:tcMar>
              <w:left w:w="120" w:type="dxa"/>
            </w:tcMar>
            <w:vAlign w:val="center"/>
          </w:tcPr>
          <w:p w14:paraId="6EABE10A">
            <w:pPr>
              <w:spacing w:line="240" w:lineRule="auto"/>
              <w:rPr>
                <w:sz w:val="28"/>
                <w:szCs w:val="28"/>
              </w:rPr>
            </w:pPr>
            <w:r>
              <w:rPr>
                <w:rFonts w:ascii="方正黑体_GBK" w:hAnsi="方正黑体_GBK" w:eastAsia="方正黑体_GBK" w:cs="宋体"/>
                <w:sz w:val="20"/>
                <w:szCs w:val="24"/>
              </w:rPr>
              <w:t>南京市溧水区永阳街道中山路22号</w:t>
            </w:r>
          </w:p>
        </w:tc>
        <w:tc>
          <w:tcPr>
            <w:tcW w:w="1350" w:type="dxa"/>
            <w:tcMar>
              <w:left w:w="120" w:type="dxa"/>
            </w:tcMar>
            <w:vAlign w:val="center"/>
          </w:tcPr>
          <w:p w14:paraId="693E9E33">
            <w:pPr>
              <w:spacing w:line="240" w:lineRule="auto"/>
              <w:rPr>
                <w:sz w:val="28"/>
                <w:szCs w:val="28"/>
              </w:rPr>
            </w:pPr>
            <w:r>
              <w:rPr>
                <w:rFonts w:ascii="方正黑体_GBK" w:hAnsi="方正黑体_GBK" w:eastAsia="方正黑体_GBK" w:cs="宋体"/>
                <w:sz w:val="20"/>
                <w:szCs w:val="24"/>
              </w:rPr>
              <w:t>96008</w:t>
            </w:r>
          </w:p>
        </w:tc>
      </w:tr>
      <w:tr w14:paraId="75D24D3E">
        <w:trPr>
          <w:trHeight w:val="300" w:hRule="atLeast"/>
        </w:trPr>
        <w:tc>
          <w:tcPr>
            <w:tcW w:w="2100" w:type="dxa"/>
            <w:tcMar>
              <w:left w:w="120" w:type="dxa"/>
            </w:tcMar>
            <w:vAlign w:val="center"/>
          </w:tcPr>
          <w:p w14:paraId="603B24AC">
            <w:pPr>
              <w:spacing w:line="240" w:lineRule="auto"/>
              <w:rPr>
                <w:sz w:val="28"/>
                <w:szCs w:val="28"/>
              </w:rPr>
            </w:pPr>
            <w:r>
              <w:rPr>
                <w:rFonts w:ascii="方正黑体_GBK" w:hAnsi="方正黑体_GBK" w:eastAsia="方正黑体_GBK" w:cs="宋体"/>
                <w:sz w:val="20"/>
                <w:szCs w:val="24"/>
              </w:rPr>
              <w:t>江苏南通农村商业银行股份有限公司</w:t>
            </w:r>
          </w:p>
        </w:tc>
        <w:tc>
          <w:tcPr>
            <w:tcW w:w="4050" w:type="dxa"/>
            <w:tcMar>
              <w:left w:w="120" w:type="dxa"/>
            </w:tcMar>
            <w:vAlign w:val="center"/>
          </w:tcPr>
          <w:p w14:paraId="7BC9032A">
            <w:pPr>
              <w:spacing w:line="240" w:lineRule="auto"/>
              <w:rPr>
                <w:sz w:val="28"/>
                <w:szCs w:val="28"/>
              </w:rPr>
            </w:pPr>
            <w:r>
              <w:rPr>
                <w:rFonts w:ascii="方正黑体_GBK" w:hAnsi="方正黑体_GBK" w:eastAsia="方正黑体_GBK" w:cs="宋体"/>
                <w:sz w:val="20"/>
                <w:szCs w:val="24"/>
              </w:rPr>
              <w:t>南通市崇川区工农南路89号</w:t>
            </w:r>
          </w:p>
        </w:tc>
        <w:tc>
          <w:tcPr>
            <w:tcW w:w="1350" w:type="dxa"/>
            <w:tcMar>
              <w:left w:w="120" w:type="dxa"/>
            </w:tcMar>
            <w:vAlign w:val="center"/>
          </w:tcPr>
          <w:p w14:paraId="79AD08CB">
            <w:pPr>
              <w:spacing w:line="240" w:lineRule="auto"/>
              <w:rPr>
                <w:sz w:val="28"/>
                <w:szCs w:val="28"/>
              </w:rPr>
            </w:pPr>
            <w:r>
              <w:rPr>
                <w:rFonts w:ascii="方正黑体_GBK" w:hAnsi="方正黑体_GBK" w:eastAsia="方正黑体_GBK" w:cs="宋体"/>
                <w:sz w:val="20"/>
                <w:szCs w:val="24"/>
              </w:rPr>
              <w:t>96008</w:t>
            </w:r>
          </w:p>
        </w:tc>
      </w:tr>
      <w:tr w14:paraId="58293D4A">
        <w:trPr>
          <w:trHeight w:val="300" w:hRule="atLeast"/>
        </w:trPr>
        <w:tc>
          <w:tcPr>
            <w:tcW w:w="2100" w:type="dxa"/>
            <w:tcMar>
              <w:left w:w="120" w:type="dxa"/>
            </w:tcMar>
            <w:vAlign w:val="center"/>
          </w:tcPr>
          <w:p w14:paraId="64045285">
            <w:pPr>
              <w:spacing w:line="240" w:lineRule="auto"/>
              <w:rPr>
                <w:sz w:val="28"/>
                <w:szCs w:val="28"/>
              </w:rPr>
            </w:pPr>
            <w:r>
              <w:rPr>
                <w:rFonts w:ascii="方正黑体_GBK" w:hAnsi="方正黑体_GBK" w:eastAsia="方正黑体_GBK" w:cs="宋体"/>
                <w:sz w:val="20"/>
                <w:szCs w:val="24"/>
              </w:rPr>
              <w:t>江苏扬州农村商业银行股份有限公司</w:t>
            </w:r>
          </w:p>
        </w:tc>
        <w:tc>
          <w:tcPr>
            <w:tcW w:w="4050" w:type="dxa"/>
            <w:tcMar>
              <w:left w:w="120" w:type="dxa"/>
            </w:tcMar>
            <w:vAlign w:val="center"/>
          </w:tcPr>
          <w:p w14:paraId="41BDF6FC">
            <w:pPr>
              <w:spacing w:line="240" w:lineRule="auto"/>
              <w:rPr>
                <w:sz w:val="28"/>
                <w:szCs w:val="28"/>
              </w:rPr>
            </w:pPr>
            <w:r>
              <w:rPr>
                <w:rFonts w:ascii="方正黑体_GBK" w:hAnsi="方正黑体_GBK" w:eastAsia="方正黑体_GBK" w:cs="宋体"/>
                <w:sz w:val="20"/>
                <w:szCs w:val="24"/>
              </w:rPr>
              <w:t>江苏省扬州市同泰路107号</w:t>
            </w:r>
          </w:p>
        </w:tc>
        <w:tc>
          <w:tcPr>
            <w:tcW w:w="1350" w:type="dxa"/>
            <w:tcMar>
              <w:left w:w="120" w:type="dxa"/>
            </w:tcMar>
            <w:vAlign w:val="center"/>
          </w:tcPr>
          <w:p w14:paraId="1748508A">
            <w:pPr>
              <w:spacing w:line="240" w:lineRule="auto"/>
              <w:rPr>
                <w:sz w:val="28"/>
                <w:szCs w:val="28"/>
              </w:rPr>
            </w:pPr>
            <w:r>
              <w:rPr>
                <w:rFonts w:ascii="方正黑体_GBK" w:hAnsi="方正黑体_GBK" w:eastAsia="方正黑体_GBK" w:cs="宋体"/>
                <w:sz w:val="20"/>
                <w:szCs w:val="24"/>
              </w:rPr>
              <w:t>96008</w:t>
            </w:r>
          </w:p>
        </w:tc>
      </w:tr>
      <w:tr w14:paraId="2D2C0DC7">
        <w:trPr>
          <w:trHeight w:val="300" w:hRule="atLeast"/>
        </w:trPr>
        <w:tc>
          <w:tcPr>
            <w:tcW w:w="2100" w:type="dxa"/>
            <w:tcMar>
              <w:left w:w="120" w:type="dxa"/>
            </w:tcMar>
            <w:vAlign w:val="center"/>
          </w:tcPr>
          <w:p w14:paraId="18F65C1E">
            <w:pPr>
              <w:spacing w:line="240" w:lineRule="auto"/>
              <w:rPr>
                <w:sz w:val="28"/>
                <w:szCs w:val="28"/>
              </w:rPr>
            </w:pPr>
            <w:r>
              <w:rPr>
                <w:rFonts w:ascii="方正黑体_GBK" w:hAnsi="方正黑体_GBK" w:eastAsia="方正黑体_GBK" w:cs="宋体"/>
                <w:sz w:val="20"/>
                <w:szCs w:val="24"/>
              </w:rPr>
              <w:t>江苏江都农村商业银行股份有限公司</w:t>
            </w:r>
          </w:p>
        </w:tc>
        <w:tc>
          <w:tcPr>
            <w:tcW w:w="4050" w:type="dxa"/>
            <w:tcMar>
              <w:left w:w="120" w:type="dxa"/>
            </w:tcMar>
            <w:vAlign w:val="center"/>
          </w:tcPr>
          <w:p w14:paraId="2B84A786">
            <w:pPr>
              <w:spacing w:line="240" w:lineRule="auto"/>
              <w:rPr>
                <w:sz w:val="28"/>
                <w:szCs w:val="28"/>
              </w:rPr>
            </w:pPr>
            <w:r>
              <w:rPr>
                <w:rFonts w:ascii="方正黑体_GBK" w:hAnsi="方正黑体_GBK" w:eastAsia="方正黑体_GBK" w:cs="宋体"/>
                <w:sz w:val="20"/>
                <w:szCs w:val="24"/>
              </w:rPr>
              <w:t>扬州市江都区龙城路21号</w:t>
            </w:r>
          </w:p>
        </w:tc>
        <w:tc>
          <w:tcPr>
            <w:tcW w:w="1350" w:type="dxa"/>
            <w:tcMar>
              <w:left w:w="120" w:type="dxa"/>
            </w:tcMar>
            <w:vAlign w:val="center"/>
          </w:tcPr>
          <w:p w14:paraId="5A7BAB5B">
            <w:pPr>
              <w:spacing w:line="240" w:lineRule="auto"/>
              <w:rPr>
                <w:sz w:val="28"/>
                <w:szCs w:val="28"/>
              </w:rPr>
            </w:pPr>
            <w:r>
              <w:rPr>
                <w:rFonts w:ascii="方正黑体_GBK" w:hAnsi="方正黑体_GBK" w:eastAsia="方正黑体_GBK" w:cs="宋体"/>
                <w:sz w:val="20"/>
                <w:szCs w:val="24"/>
              </w:rPr>
              <w:t>96008</w:t>
            </w:r>
          </w:p>
        </w:tc>
      </w:tr>
      <w:tr w14:paraId="7AF09C07">
        <w:trPr>
          <w:trHeight w:val="300" w:hRule="atLeast"/>
        </w:trPr>
        <w:tc>
          <w:tcPr>
            <w:tcW w:w="2100" w:type="dxa"/>
            <w:tcMar>
              <w:left w:w="120" w:type="dxa"/>
            </w:tcMar>
            <w:vAlign w:val="center"/>
          </w:tcPr>
          <w:p w14:paraId="2DF87A2A">
            <w:pPr>
              <w:spacing w:line="240" w:lineRule="auto"/>
              <w:rPr>
                <w:sz w:val="28"/>
                <w:szCs w:val="28"/>
              </w:rPr>
            </w:pPr>
            <w:r>
              <w:rPr>
                <w:rFonts w:ascii="方正黑体_GBK" w:hAnsi="方正黑体_GBK" w:eastAsia="方正黑体_GBK" w:cs="宋体"/>
                <w:sz w:val="20"/>
                <w:szCs w:val="24"/>
              </w:rPr>
              <w:t>江苏淮安农村商业银行股份有限公司</w:t>
            </w:r>
          </w:p>
        </w:tc>
        <w:tc>
          <w:tcPr>
            <w:tcW w:w="4050" w:type="dxa"/>
            <w:tcMar>
              <w:left w:w="120" w:type="dxa"/>
            </w:tcMar>
            <w:vAlign w:val="center"/>
          </w:tcPr>
          <w:p w14:paraId="5C218F8D">
            <w:pPr>
              <w:spacing w:line="240" w:lineRule="auto"/>
              <w:rPr>
                <w:sz w:val="28"/>
                <w:szCs w:val="28"/>
              </w:rPr>
            </w:pPr>
            <w:r>
              <w:rPr>
                <w:rFonts w:ascii="方正黑体_GBK" w:hAnsi="方正黑体_GBK" w:eastAsia="方正黑体_GBK" w:cs="宋体"/>
                <w:sz w:val="20"/>
                <w:szCs w:val="24"/>
              </w:rPr>
              <w:t>江苏省淮安市清江浦区水渡口大道20号金融中心B1号楼</w:t>
            </w:r>
          </w:p>
        </w:tc>
        <w:tc>
          <w:tcPr>
            <w:tcW w:w="1350" w:type="dxa"/>
            <w:tcMar>
              <w:left w:w="120" w:type="dxa"/>
            </w:tcMar>
            <w:vAlign w:val="center"/>
          </w:tcPr>
          <w:p w14:paraId="4D50B6B0">
            <w:pPr>
              <w:spacing w:line="240" w:lineRule="auto"/>
              <w:rPr>
                <w:sz w:val="28"/>
                <w:szCs w:val="28"/>
              </w:rPr>
            </w:pPr>
            <w:r>
              <w:rPr>
                <w:rFonts w:ascii="方正黑体_GBK" w:hAnsi="方正黑体_GBK" w:eastAsia="方正黑体_GBK" w:cs="宋体"/>
                <w:sz w:val="20"/>
                <w:szCs w:val="24"/>
              </w:rPr>
              <w:t>96008</w:t>
            </w:r>
          </w:p>
        </w:tc>
      </w:tr>
      <w:tr w14:paraId="6269DB2A">
        <w:trPr>
          <w:trHeight w:val="300" w:hRule="atLeast"/>
        </w:trPr>
        <w:tc>
          <w:tcPr>
            <w:tcW w:w="2100" w:type="dxa"/>
            <w:tcMar>
              <w:left w:w="120" w:type="dxa"/>
            </w:tcMar>
            <w:vAlign w:val="center"/>
          </w:tcPr>
          <w:p w14:paraId="6C0A01CA">
            <w:pPr>
              <w:spacing w:line="240" w:lineRule="auto"/>
              <w:rPr>
                <w:sz w:val="28"/>
                <w:szCs w:val="28"/>
              </w:rPr>
            </w:pPr>
            <w:r>
              <w:rPr>
                <w:rFonts w:ascii="方正黑体_GBK" w:hAnsi="方正黑体_GBK" w:eastAsia="方正黑体_GBK" w:cs="宋体"/>
                <w:sz w:val="20"/>
                <w:szCs w:val="24"/>
              </w:rPr>
              <w:t>江苏大丰农村商业银行股份有限公司</w:t>
            </w:r>
          </w:p>
        </w:tc>
        <w:tc>
          <w:tcPr>
            <w:tcW w:w="4050" w:type="dxa"/>
            <w:tcMar>
              <w:left w:w="120" w:type="dxa"/>
            </w:tcMar>
            <w:vAlign w:val="center"/>
          </w:tcPr>
          <w:p w14:paraId="209064D5">
            <w:pPr>
              <w:spacing w:line="240" w:lineRule="auto"/>
              <w:rPr>
                <w:sz w:val="28"/>
                <w:szCs w:val="28"/>
              </w:rPr>
            </w:pPr>
            <w:r>
              <w:rPr>
                <w:rFonts w:ascii="方正黑体_GBK" w:hAnsi="方正黑体_GBK" w:eastAsia="方正黑体_GBK" w:cs="宋体"/>
                <w:sz w:val="20"/>
                <w:szCs w:val="24"/>
              </w:rPr>
              <w:t>江苏省盐城市大丰区常新中路9号</w:t>
            </w:r>
          </w:p>
        </w:tc>
        <w:tc>
          <w:tcPr>
            <w:tcW w:w="1350" w:type="dxa"/>
            <w:tcMar>
              <w:left w:w="120" w:type="dxa"/>
            </w:tcMar>
            <w:vAlign w:val="center"/>
          </w:tcPr>
          <w:p w14:paraId="24D74EEA">
            <w:pPr>
              <w:spacing w:line="240" w:lineRule="auto"/>
              <w:rPr>
                <w:sz w:val="28"/>
                <w:szCs w:val="28"/>
              </w:rPr>
            </w:pPr>
            <w:r>
              <w:rPr>
                <w:rFonts w:ascii="方正黑体_GBK" w:hAnsi="方正黑体_GBK" w:eastAsia="方正黑体_GBK" w:cs="宋体"/>
                <w:sz w:val="20"/>
                <w:szCs w:val="24"/>
              </w:rPr>
              <w:t>96008</w:t>
            </w:r>
          </w:p>
        </w:tc>
      </w:tr>
      <w:tr w14:paraId="5C10B8DB">
        <w:trPr>
          <w:trHeight w:val="300" w:hRule="atLeast"/>
        </w:trPr>
        <w:tc>
          <w:tcPr>
            <w:tcW w:w="2100" w:type="dxa"/>
            <w:tcMar>
              <w:left w:w="120" w:type="dxa"/>
            </w:tcMar>
            <w:vAlign w:val="center"/>
          </w:tcPr>
          <w:p w14:paraId="7A7F7E45">
            <w:pPr>
              <w:spacing w:line="240" w:lineRule="auto"/>
              <w:rPr>
                <w:sz w:val="28"/>
                <w:szCs w:val="28"/>
              </w:rPr>
            </w:pPr>
            <w:r>
              <w:rPr>
                <w:rFonts w:ascii="方正黑体_GBK" w:hAnsi="方正黑体_GBK" w:eastAsia="方正黑体_GBK" w:cs="宋体"/>
                <w:sz w:val="20"/>
                <w:szCs w:val="24"/>
              </w:rPr>
              <w:t>江苏涟水农村商业银行股份有限公司</w:t>
            </w:r>
          </w:p>
        </w:tc>
        <w:tc>
          <w:tcPr>
            <w:tcW w:w="4050" w:type="dxa"/>
            <w:tcMar>
              <w:left w:w="120" w:type="dxa"/>
            </w:tcMar>
            <w:vAlign w:val="center"/>
          </w:tcPr>
          <w:p w14:paraId="6577688A">
            <w:pPr>
              <w:spacing w:line="240" w:lineRule="auto"/>
              <w:rPr>
                <w:sz w:val="28"/>
                <w:szCs w:val="28"/>
              </w:rPr>
            </w:pPr>
            <w:r>
              <w:rPr>
                <w:rFonts w:ascii="方正黑体_GBK" w:hAnsi="方正黑体_GBK" w:eastAsia="方正黑体_GBK" w:cs="宋体"/>
                <w:sz w:val="20"/>
                <w:szCs w:val="24"/>
              </w:rPr>
              <w:t>淮安市涟水县涟城镇涟州路5号</w:t>
            </w:r>
          </w:p>
        </w:tc>
        <w:tc>
          <w:tcPr>
            <w:tcW w:w="1350" w:type="dxa"/>
            <w:tcMar>
              <w:left w:w="120" w:type="dxa"/>
            </w:tcMar>
            <w:vAlign w:val="center"/>
          </w:tcPr>
          <w:p w14:paraId="13248B7F">
            <w:pPr>
              <w:spacing w:line="240" w:lineRule="auto"/>
              <w:rPr>
                <w:sz w:val="28"/>
                <w:szCs w:val="28"/>
              </w:rPr>
            </w:pPr>
            <w:r>
              <w:rPr>
                <w:rFonts w:ascii="方正黑体_GBK" w:hAnsi="方正黑体_GBK" w:eastAsia="方正黑体_GBK" w:cs="宋体"/>
                <w:sz w:val="20"/>
                <w:szCs w:val="24"/>
              </w:rPr>
              <w:t>96008</w:t>
            </w:r>
          </w:p>
        </w:tc>
      </w:tr>
      <w:tr w14:paraId="17EDD21F">
        <w:trPr>
          <w:trHeight w:val="300" w:hRule="atLeast"/>
        </w:trPr>
        <w:tc>
          <w:tcPr>
            <w:tcW w:w="2100" w:type="dxa"/>
            <w:tcMar>
              <w:left w:w="120" w:type="dxa"/>
            </w:tcMar>
            <w:vAlign w:val="center"/>
          </w:tcPr>
          <w:p w14:paraId="4F8E8CC0">
            <w:pPr>
              <w:spacing w:line="240" w:lineRule="auto"/>
              <w:rPr>
                <w:sz w:val="28"/>
                <w:szCs w:val="28"/>
              </w:rPr>
            </w:pPr>
            <w:r>
              <w:rPr>
                <w:rFonts w:ascii="方正黑体_GBK" w:hAnsi="方正黑体_GBK" w:eastAsia="方正黑体_GBK" w:cs="宋体"/>
                <w:sz w:val="20"/>
                <w:szCs w:val="24"/>
              </w:rPr>
              <w:t>江苏兴化农村商业银行股份有限公司</w:t>
            </w:r>
          </w:p>
        </w:tc>
        <w:tc>
          <w:tcPr>
            <w:tcW w:w="4050" w:type="dxa"/>
            <w:tcMar>
              <w:left w:w="120" w:type="dxa"/>
            </w:tcMar>
            <w:vAlign w:val="center"/>
          </w:tcPr>
          <w:p w14:paraId="3884FFF8">
            <w:pPr>
              <w:spacing w:line="240" w:lineRule="auto"/>
              <w:rPr>
                <w:sz w:val="28"/>
                <w:szCs w:val="28"/>
              </w:rPr>
            </w:pPr>
            <w:r>
              <w:rPr>
                <w:rFonts w:ascii="方正黑体_GBK" w:hAnsi="方正黑体_GBK" w:eastAsia="方正黑体_GBK" w:cs="宋体"/>
                <w:sz w:val="20"/>
                <w:szCs w:val="24"/>
              </w:rPr>
              <w:t>江苏省兴化市长安南路999号</w:t>
            </w:r>
          </w:p>
        </w:tc>
        <w:tc>
          <w:tcPr>
            <w:tcW w:w="1350" w:type="dxa"/>
            <w:tcMar>
              <w:left w:w="120" w:type="dxa"/>
            </w:tcMar>
            <w:vAlign w:val="center"/>
          </w:tcPr>
          <w:p w14:paraId="48178717">
            <w:pPr>
              <w:spacing w:line="240" w:lineRule="auto"/>
              <w:rPr>
                <w:sz w:val="28"/>
                <w:szCs w:val="28"/>
              </w:rPr>
            </w:pPr>
            <w:r>
              <w:rPr>
                <w:rFonts w:ascii="方正黑体_GBK" w:hAnsi="方正黑体_GBK" w:eastAsia="方正黑体_GBK" w:cs="宋体"/>
                <w:sz w:val="20"/>
                <w:szCs w:val="24"/>
              </w:rPr>
              <w:t>96008</w:t>
            </w:r>
          </w:p>
        </w:tc>
      </w:tr>
      <w:tr w14:paraId="2859116E">
        <w:trPr>
          <w:trHeight w:val="300" w:hRule="atLeast"/>
        </w:trPr>
        <w:tc>
          <w:tcPr>
            <w:tcW w:w="2100" w:type="dxa"/>
            <w:tcMar>
              <w:left w:w="120" w:type="dxa"/>
            </w:tcMar>
            <w:vAlign w:val="center"/>
          </w:tcPr>
          <w:p w14:paraId="6B022912">
            <w:pPr>
              <w:spacing w:line="240" w:lineRule="auto"/>
              <w:rPr>
                <w:sz w:val="28"/>
                <w:szCs w:val="28"/>
              </w:rPr>
            </w:pPr>
            <w:r>
              <w:rPr>
                <w:rFonts w:ascii="方正黑体_GBK" w:hAnsi="方正黑体_GBK" w:eastAsia="方正黑体_GBK" w:cs="宋体"/>
                <w:sz w:val="20"/>
                <w:szCs w:val="24"/>
              </w:rPr>
              <w:t>江苏镇江农村商业银行股份有限公司</w:t>
            </w:r>
          </w:p>
        </w:tc>
        <w:tc>
          <w:tcPr>
            <w:tcW w:w="4050" w:type="dxa"/>
            <w:tcMar>
              <w:left w:w="120" w:type="dxa"/>
            </w:tcMar>
            <w:vAlign w:val="center"/>
          </w:tcPr>
          <w:p w14:paraId="30DEE6DF">
            <w:pPr>
              <w:spacing w:line="240" w:lineRule="auto"/>
              <w:rPr>
                <w:sz w:val="28"/>
                <w:szCs w:val="28"/>
              </w:rPr>
            </w:pPr>
            <w:r>
              <w:rPr>
                <w:rFonts w:ascii="方正黑体_GBK" w:hAnsi="方正黑体_GBK" w:eastAsia="方正黑体_GBK" w:cs="宋体"/>
                <w:sz w:val="20"/>
                <w:szCs w:val="24"/>
              </w:rPr>
              <w:t>江苏省镇江市润州区长江路97号</w:t>
            </w:r>
          </w:p>
        </w:tc>
        <w:tc>
          <w:tcPr>
            <w:tcW w:w="1350" w:type="dxa"/>
            <w:tcMar>
              <w:left w:w="120" w:type="dxa"/>
            </w:tcMar>
            <w:vAlign w:val="center"/>
          </w:tcPr>
          <w:p w14:paraId="6C619B70">
            <w:pPr>
              <w:spacing w:line="240" w:lineRule="auto"/>
              <w:rPr>
                <w:sz w:val="28"/>
                <w:szCs w:val="28"/>
              </w:rPr>
            </w:pPr>
            <w:r>
              <w:rPr>
                <w:rFonts w:ascii="方正黑体_GBK" w:hAnsi="方正黑体_GBK" w:eastAsia="方正黑体_GBK" w:cs="宋体"/>
                <w:sz w:val="20"/>
                <w:szCs w:val="24"/>
              </w:rPr>
              <w:t>96008</w:t>
            </w:r>
          </w:p>
        </w:tc>
      </w:tr>
      <w:tr w14:paraId="060D0DAE">
        <w:trPr>
          <w:trHeight w:val="300" w:hRule="atLeast"/>
        </w:trPr>
        <w:tc>
          <w:tcPr>
            <w:tcW w:w="2100" w:type="dxa"/>
            <w:tcMar>
              <w:left w:w="120" w:type="dxa"/>
            </w:tcMar>
            <w:vAlign w:val="center"/>
          </w:tcPr>
          <w:p w14:paraId="133553DC">
            <w:pPr>
              <w:spacing w:line="240" w:lineRule="auto"/>
              <w:rPr>
                <w:sz w:val="28"/>
                <w:szCs w:val="28"/>
              </w:rPr>
            </w:pPr>
            <w:r>
              <w:rPr>
                <w:rFonts w:ascii="方正黑体_GBK" w:hAnsi="方正黑体_GBK" w:eastAsia="方正黑体_GBK" w:cs="宋体"/>
                <w:sz w:val="20"/>
                <w:szCs w:val="24"/>
              </w:rPr>
              <w:t>江苏如皋农村商业银行股份有限公司</w:t>
            </w:r>
          </w:p>
        </w:tc>
        <w:tc>
          <w:tcPr>
            <w:tcW w:w="4050" w:type="dxa"/>
            <w:tcMar>
              <w:left w:w="120" w:type="dxa"/>
            </w:tcMar>
            <w:vAlign w:val="center"/>
          </w:tcPr>
          <w:p w14:paraId="4B52E61C">
            <w:pPr>
              <w:spacing w:line="240" w:lineRule="auto"/>
              <w:rPr>
                <w:sz w:val="28"/>
                <w:szCs w:val="28"/>
              </w:rPr>
            </w:pPr>
            <w:r>
              <w:rPr>
                <w:rFonts w:ascii="方正黑体_GBK" w:hAnsi="方正黑体_GBK" w:eastAsia="方正黑体_GBK" w:cs="宋体"/>
                <w:sz w:val="20"/>
                <w:szCs w:val="24"/>
              </w:rPr>
              <w:t>如皋市如城街道海阳南路999号</w:t>
            </w:r>
          </w:p>
        </w:tc>
        <w:tc>
          <w:tcPr>
            <w:tcW w:w="1350" w:type="dxa"/>
            <w:tcMar>
              <w:left w:w="120" w:type="dxa"/>
            </w:tcMar>
            <w:vAlign w:val="center"/>
          </w:tcPr>
          <w:p w14:paraId="2101F9F2">
            <w:pPr>
              <w:spacing w:line="240" w:lineRule="auto"/>
              <w:rPr>
                <w:sz w:val="28"/>
                <w:szCs w:val="28"/>
              </w:rPr>
            </w:pPr>
            <w:r>
              <w:rPr>
                <w:rFonts w:ascii="方正黑体_GBK" w:hAnsi="方正黑体_GBK" w:eastAsia="方正黑体_GBK" w:cs="宋体"/>
                <w:sz w:val="20"/>
                <w:szCs w:val="24"/>
              </w:rPr>
              <w:t>96008</w:t>
            </w:r>
          </w:p>
        </w:tc>
      </w:tr>
      <w:tr w14:paraId="7FB9A45C">
        <w:trPr>
          <w:trHeight w:val="300" w:hRule="atLeast"/>
        </w:trPr>
        <w:tc>
          <w:tcPr>
            <w:tcW w:w="2100" w:type="dxa"/>
            <w:tcMar>
              <w:left w:w="120" w:type="dxa"/>
            </w:tcMar>
            <w:vAlign w:val="center"/>
          </w:tcPr>
          <w:p w14:paraId="6DE33045">
            <w:pPr>
              <w:spacing w:line="240" w:lineRule="auto"/>
              <w:rPr>
                <w:sz w:val="28"/>
                <w:szCs w:val="28"/>
              </w:rPr>
            </w:pPr>
            <w:r>
              <w:rPr>
                <w:rFonts w:ascii="方正黑体_GBK" w:hAnsi="方正黑体_GBK" w:eastAsia="方正黑体_GBK" w:cs="宋体"/>
                <w:sz w:val="20"/>
                <w:szCs w:val="24"/>
              </w:rPr>
              <w:t>江苏宝应农村商业银行股份有限公司</w:t>
            </w:r>
          </w:p>
        </w:tc>
        <w:tc>
          <w:tcPr>
            <w:tcW w:w="4050" w:type="dxa"/>
            <w:tcMar>
              <w:left w:w="120" w:type="dxa"/>
            </w:tcMar>
            <w:vAlign w:val="center"/>
          </w:tcPr>
          <w:p w14:paraId="46E4C77F">
            <w:pPr>
              <w:spacing w:line="240" w:lineRule="auto"/>
              <w:rPr>
                <w:sz w:val="28"/>
                <w:szCs w:val="28"/>
              </w:rPr>
            </w:pPr>
            <w:r>
              <w:rPr>
                <w:rFonts w:ascii="方正黑体_GBK" w:hAnsi="方正黑体_GBK" w:eastAsia="方正黑体_GBK" w:cs="宋体"/>
                <w:sz w:val="20"/>
                <w:szCs w:val="24"/>
              </w:rPr>
              <w:t>江苏省宝应县文津路1号</w:t>
            </w:r>
          </w:p>
        </w:tc>
        <w:tc>
          <w:tcPr>
            <w:tcW w:w="1350" w:type="dxa"/>
            <w:tcMar>
              <w:left w:w="120" w:type="dxa"/>
            </w:tcMar>
            <w:vAlign w:val="center"/>
          </w:tcPr>
          <w:p w14:paraId="1F34127D">
            <w:pPr>
              <w:spacing w:line="240" w:lineRule="auto"/>
              <w:rPr>
                <w:sz w:val="28"/>
                <w:szCs w:val="28"/>
              </w:rPr>
            </w:pPr>
            <w:r>
              <w:rPr>
                <w:rFonts w:ascii="方正黑体_GBK" w:hAnsi="方正黑体_GBK" w:eastAsia="方正黑体_GBK" w:cs="宋体"/>
                <w:sz w:val="20"/>
                <w:szCs w:val="24"/>
              </w:rPr>
              <w:t>96008</w:t>
            </w:r>
          </w:p>
        </w:tc>
      </w:tr>
      <w:tr w14:paraId="400EBD9F">
        <w:trPr>
          <w:trHeight w:val="300" w:hRule="atLeast"/>
        </w:trPr>
        <w:tc>
          <w:tcPr>
            <w:tcW w:w="2100" w:type="dxa"/>
            <w:tcMar>
              <w:left w:w="120" w:type="dxa"/>
            </w:tcMar>
            <w:vAlign w:val="center"/>
          </w:tcPr>
          <w:p w14:paraId="58028C29">
            <w:pPr>
              <w:spacing w:line="240" w:lineRule="auto"/>
              <w:rPr>
                <w:sz w:val="28"/>
                <w:szCs w:val="28"/>
              </w:rPr>
            </w:pPr>
            <w:r>
              <w:rPr>
                <w:rFonts w:ascii="方正黑体_GBK" w:hAnsi="方正黑体_GBK" w:eastAsia="方正黑体_GBK" w:cs="宋体"/>
                <w:sz w:val="20"/>
                <w:szCs w:val="24"/>
              </w:rPr>
              <w:t>海南银行股份有限公司</w:t>
            </w:r>
          </w:p>
        </w:tc>
        <w:tc>
          <w:tcPr>
            <w:tcW w:w="4050" w:type="dxa"/>
            <w:tcMar>
              <w:left w:w="120" w:type="dxa"/>
            </w:tcMar>
            <w:vAlign w:val="center"/>
          </w:tcPr>
          <w:p w14:paraId="2A853D6E">
            <w:pPr>
              <w:spacing w:line="240" w:lineRule="auto"/>
              <w:rPr>
                <w:sz w:val="28"/>
                <w:szCs w:val="28"/>
              </w:rPr>
            </w:pPr>
            <w:r>
              <w:rPr>
                <w:rFonts w:ascii="方正黑体_GBK" w:hAnsi="方正黑体_GBK" w:eastAsia="方正黑体_GBK" w:cs="宋体"/>
                <w:sz w:val="20"/>
                <w:szCs w:val="24"/>
              </w:rPr>
              <w:t>海南省海口市龙华区海秀东路31号</w:t>
            </w:r>
          </w:p>
        </w:tc>
        <w:tc>
          <w:tcPr>
            <w:tcW w:w="1350" w:type="dxa"/>
            <w:tcMar>
              <w:left w:w="120" w:type="dxa"/>
            </w:tcMar>
            <w:vAlign w:val="center"/>
          </w:tcPr>
          <w:p w14:paraId="28AD9AF6">
            <w:pPr>
              <w:spacing w:line="240" w:lineRule="auto"/>
              <w:rPr>
                <w:sz w:val="28"/>
                <w:szCs w:val="28"/>
              </w:rPr>
            </w:pPr>
            <w:r>
              <w:rPr>
                <w:rFonts w:ascii="方正黑体_GBK" w:hAnsi="方正黑体_GBK" w:eastAsia="方正黑体_GBK" w:cs="宋体"/>
                <w:sz w:val="20"/>
                <w:szCs w:val="24"/>
              </w:rPr>
              <w:t>0898-66505978</w:t>
            </w:r>
          </w:p>
        </w:tc>
      </w:tr>
      <w:tr w14:paraId="143AC814">
        <w:trPr>
          <w:trHeight w:val="300" w:hRule="atLeast"/>
        </w:trPr>
        <w:tc>
          <w:tcPr>
            <w:tcW w:w="2100" w:type="dxa"/>
            <w:tcMar>
              <w:left w:w="120" w:type="dxa"/>
            </w:tcMar>
            <w:vAlign w:val="center"/>
          </w:tcPr>
          <w:p w14:paraId="3640767D">
            <w:pPr>
              <w:spacing w:line="240" w:lineRule="auto"/>
              <w:rPr>
                <w:sz w:val="28"/>
                <w:szCs w:val="28"/>
              </w:rPr>
            </w:pPr>
            <w:r>
              <w:rPr>
                <w:rFonts w:ascii="方正黑体_GBK" w:hAnsi="方正黑体_GBK" w:eastAsia="方正黑体_GBK" w:cs="宋体"/>
                <w:sz w:val="20"/>
                <w:szCs w:val="24"/>
              </w:rPr>
              <w:t>江苏射阳农村商业银行股份有限公司</w:t>
            </w:r>
          </w:p>
        </w:tc>
        <w:tc>
          <w:tcPr>
            <w:tcW w:w="4050" w:type="dxa"/>
            <w:tcMar>
              <w:left w:w="120" w:type="dxa"/>
            </w:tcMar>
            <w:vAlign w:val="center"/>
          </w:tcPr>
          <w:p w14:paraId="09DCD0E8">
            <w:pPr>
              <w:spacing w:line="240" w:lineRule="auto"/>
              <w:rPr>
                <w:sz w:val="28"/>
                <w:szCs w:val="28"/>
              </w:rPr>
            </w:pPr>
            <w:r>
              <w:rPr>
                <w:rFonts w:ascii="方正黑体_GBK" w:hAnsi="方正黑体_GBK" w:eastAsia="方正黑体_GBK" w:cs="宋体"/>
                <w:sz w:val="20"/>
                <w:szCs w:val="24"/>
              </w:rPr>
              <w:t>射阳县合德镇解放路385号</w:t>
            </w:r>
          </w:p>
        </w:tc>
        <w:tc>
          <w:tcPr>
            <w:tcW w:w="1350" w:type="dxa"/>
            <w:tcMar>
              <w:left w:w="120" w:type="dxa"/>
            </w:tcMar>
            <w:vAlign w:val="center"/>
          </w:tcPr>
          <w:p w14:paraId="70F5EC91">
            <w:pPr>
              <w:spacing w:line="240" w:lineRule="auto"/>
              <w:rPr>
                <w:sz w:val="28"/>
                <w:szCs w:val="28"/>
              </w:rPr>
            </w:pPr>
            <w:r>
              <w:rPr>
                <w:rFonts w:ascii="方正黑体_GBK" w:hAnsi="方正黑体_GBK" w:eastAsia="方正黑体_GBK" w:cs="宋体"/>
                <w:sz w:val="20"/>
                <w:szCs w:val="24"/>
              </w:rPr>
              <w:t>96008</w:t>
            </w:r>
          </w:p>
        </w:tc>
      </w:tr>
      <w:tr w14:paraId="3476410C">
        <w:trPr>
          <w:trHeight w:val="300" w:hRule="atLeast"/>
        </w:trPr>
        <w:tc>
          <w:tcPr>
            <w:tcW w:w="2100" w:type="dxa"/>
            <w:tcMar>
              <w:left w:w="120" w:type="dxa"/>
            </w:tcMar>
            <w:vAlign w:val="center"/>
          </w:tcPr>
          <w:p w14:paraId="3CB1A19D">
            <w:pPr>
              <w:spacing w:line="240" w:lineRule="auto"/>
              <w:rPr>
                <w:sz w:val="28"/>
                <w:szCs w:val="28"/>
              </w:rPr>
            </w:pPr>
            <w:r>
              <w:rPr>
                <w:rFonts w:ascii="方正黑体_GBK" w:hAnsi="方正黑体_GBK" w:eastAsia="方正黑体_GBK" w:cs="宋体"/>
                <w:sz w:val="20"/>
                <w:szCs w:val="24"/>
              </w:rPr>
              <w:t>江苏句容农村商业银行股份有限公司</w:t>
            </w:r>
          </w:p>
        </w:tc>
        <w:tc>
          <w:tcPr>
            <w:tcW w:w="4050" w:type="dxa"/>
            <w:tcMar>
              <w:left w:w="120" w:type="dxa"/>
            </w:tcMar>
            <w:vAlign w:val="center"/>
          </w:tcPr>
          <w:p w14:paraId="092ADA0D">
            <w:pPr>
              <w:spacing w:line="240" w:lineRule="auto"/>
              <w:rPr>
                <w:sz w:val="28"/>
                <w:szCs w:val="28"/>
              </w:rPr>
            </w:pPr>
            <w:r>
              <w:rPr>
                <w:rFonts w:ascii="方正黑体_GBK" w:hAnsi="方正黑体_GBK" w:eastAsia="方正黑体_GBK" w:cs="宋体"/>
                <w:sz w:val="20"/>
                <w:szCs w:val="24"/>
              </w:rPr>
              <w:t>江苏省句容市福地东路66号</w:t>
            </w:r>
          </w:p>
        </w:tc>
        <w:tc>
          <w:tcPr>
            <w:tcW w:w="1350" w:type="dxa"/>
            <w:tcMar>
              <w:left w:w="120" w:type="dxa"/>
            </w:tcMar>
            <w:vAlign w:val="center"/>
          </w:tcPr>
          <w:p w14:paraId="69C9F718">
            <w:pPr>
              <w:spacing w:line="240" w:lineRule="auto"/>
              <w:rPr>
                <w:sz w:val="28"/>
                <w:szCs w:val="28"/>
              </w:rPr>
            </w:pPr>
            <w:r>
              <w:rPr>
                <w:rFonts w:ascii="方正黑体_GBK" w:hAnsi="方正黑体_GBK" w:eastAsia="方正黑体_GBK" w:cs="宋体"/>
                <w:sz w:val="20"/>
                <w:szCs w:val="24"/>
              </w:rPr>
              <w:t>96008</w:t>
            </w:r>
          </w:p>
        </w:tc>
      </w:tr>
      <w:tr w14:paraId="3FED16BF">
        <w:trPr>
          <w:trHeight w:val="300" w:hRule="atLeast"/>
        </w:trPr>
        <w:tc>
          <w:tcPr>
            <w:tcW w:w="2100" w:type="dxa"/>
            <w:tcMar>
              <w:left w:w="120" w:type="dxa"/>
            </w:tcMar>
            <w:vAlign w:val="center"/>
          </w:tcPr>
          <w:p w14:paraId="67BFE8A6">
            <w:pPr>
              <w:spacing w:line="240" w:lineRule="auto"/>
              <w:rPr>
                <w:sz w:val="28"/>
                <w:szCs w:val="28"/>
              </w:rPr>
            </w:pPr>
            <w:r>
              <w:rPr>
                <w:rFonts w:ascii="方正黑体_GBK" w:hAnsi="方正黑体_GBK" w:eastAsia="方正黑体_GBK" w:cs="宋体"/>
                <w:sz w:val="20"/>
                <w:szCs w:val="24"/>
              </w:rPr>
              <w:t>江苏泗洪农村商业银行股份有限公司</w:t>
            </w:r>
          </w:p>
        </w:tc>
        <w:tc>
          <w:tcPr>
            <w:tcW w:w="4050" w:type="dxa"/>
            <w:tcMar>
              <w:left w:w="120" w:type="dxa"/>
            </w:tcMar>
            <w:vAlign w:val="center"/>
          </w:tcPr>
          <w:p w14:paraId="566EE31C">
            <w:pPr>
              <w:spacing w:line="240" w:lineRule="auto"/>
              <w:rPr>
                <w:sz w:val="28"/>
                <w:szCs w:val="28"/>
              </w:rPr>
            </w:pPr>
            <w:r>
              <w:rPr>
                <w:rFonts w:ascii="方正黑体_GBK" w:hAnsi="方正黑体_GBK" w:eastAsia="方正黑体_GBK" w:cs="宋体"/>
                <w:sz w:val="20"/>
                <w:szCs w:val="24"/>
              </w:rPr>
              <w:t>江苏省宿迁市泗洪县长江东路17号</w:t>
            </w:r>
          </w:p>
        </w:tc>
        <w:tc>
          <w:tcPr>
            <w:tcW w:w="1350" w:type="dxa"/>
            <w:tcMar>
              <w:left w:w="120" w:type="dxa"/>
            </w:tcMar>
            <w:vAlign w:val="center"/>
          </w:tcPr>
          <w:p w14:paraId="71FE91BF">
            <w:pPr>
              <w:spacing w:line="240" w:lineRule="auto"/>
              <w:rPr>
                <w:sz w:val="28"/>
                <w:szCs w:val="28"/>
              </w:rPr>
            </w:pPr>
            <w:r>
              <w:rPr>
                <w:rFonts w:ascii="方正黑体_GBK" w:hAnsi="方正黑体_GBK" w:eastAsia="方正黑体_GBK" w:cs="宋体"/>
                <w:sz w:val="20"/>
                <w:szCs w:val="24"/>
              </w:rPr>
              <w:t>96008</w:t>
            </w:r>
          </w:p>
        </w:tc>
      </w:tr>
      <w:tr w14:paraId="0C5EE423">
        <w:trPr>
          <w:trHeight w:val="300" w:hRule="atLeast"/>
        </w:trPr>
        <w:tc>
          <w:tcPr>
            <w:tcW w:w="2100" w:type="dxa"/>
            <w:tcMar>
              <w:left w:w="120" w:type="dxa"/>
            </w:tcMar>
            <w:vAlign w:val="center"/>
          </w:tcPr>
          <w:p w14:paraId="16BE1570">
            <w:pPr>
              <w:spacing w:line="240" w:lineRule="auto"/>
              <w:rPr>
                <w:sz w:val="28"/>
                <w:szCs w:val="28"/>
              </w:rPr>
            </w:pPr>
            <w:r>
              <w:rPr>
                <w:rFonts w:ascii="方正黑体_GBK" w:hAnsi="方正黑体_GBK" w:eastAsia="方正黑体_GBK" w:cs="宋体"/>
                <w:sz w:val="20"/>
                <w:szCs w:val="24"/>
              </w:rPr>
              <w:t>江苏泗阳农村商业银行股份有限公司</w:t>
            </w:r>
          </w:p>
        </w:tc>
        <w:tc>
          <w:tcPr>
            <w:tcW w:w="4050" w:type="dxa"/>
            <w:tcMar>
              <w:left w:w="120" w:type="dxa"/>
            </w:tcMar>
            <w:vAlign w:val="center"/>
          </w:tcPr>
          <w:p w14:paraId="2A28A8F0">
            <w:pPr>
              <w:spacing w:line="240" w:lineRule="auto"/>
              <w:rPr>
                <w:sz w:val="28"/>
                <w:szCs w:val="28"/>
              </w:rPr>
            </w:pPr>
            <w:r>
              <w:rPr>
                <w:rFonts w:ascii="方正黑体_GBK" w:hAnsi="方正黑体_GBK" w:eastAsia="方正黑体_GBK" w:cs="宋体"/>
                <w:sz w:val="20"/>
                <w:szCs w:val="24"/>
              </w:rPr>
              <w:t>宿迁市泗阳县众兴镇北京中路21号</w:t>
            </w:r>
          </w:p>
        </w:tc>
        <w:tc>
          <w:tcPr>
            <w:tcW w:w="1350" w:type="dxa"/>
            <w:tcMar>
              <w:left w:w="120" w:type="dxa"/>
            </w:tcMar>
            <w:vAlign w:val="center"/>
          </w:tcPr>
          <w:p w14:paraId="0E1E602F">
            <w:pPr>
              <w:spacing w:line="240" w:lineRule="auto"/>
              <w:rPr>
                <w:sz w:val="28"/>
                <w:szCs w:val="28"/>
              </w:rPr>
            </w:pPr>
            <w:r>
              <w:rPr>
                <w:rFonts w:ascii="方正黑体_GBK" w:hAnsi="方正黑体_GBK" w:eastAsia="方正黑体_GBK" w:cs="宋体"/>
                <w:sz w:val="20"/>
                <w:szCs w:val="24"/>
              </w:rPr>
              <w:t>96008</w:t>
            </w:r>
          </w:p>
        </w:tc>
      </w:tr>
      <w:tr w14:paraId="40776764">
        <w:trPr>
          <w:trHeight w:val="300" w:hRule="atLeast"/>
        </w:trPr>
        <w:tc>
          <w:tcPr>
            <w:tcW w:w="2100" w:type="dxa"/>
            <w:tcMar>
              <w:left w:w="120" w:type="dxa"/>
            </w:tcMar>
            <w:vAlign w:val="center"/>
          </w:tcPr>
          <w:p w14:paraId="4F28403D">
            <w:pPr>
              <w:spacing w:line="240" w:lineRule="auto"/>
              <w:rPr>
                <w:sz w:val="28"/>
                <w:szCs w:val="28"/>
              </w:rPr>
            </w:pPr>
            <w:r>
              <w:rPr>
                <w:rFonts w:ascii="方正黑体_GBK" w:hAnsi="方正黑体_GBK" w:eastAsia="方正黑体_GBK" w:cs="宋体"/>
                <w:sz w:val="20"/>
                <w:szCs w:val="24"/>
              </w:rPr>
              <w:t>江苏张家港农村商业银行股份有限公司</w:t>
            </w:r>
          </w:p>
        </w:tc>
        <w:tc>
          <w:tcPr>
            <w:tcW w:w="4050" w:type="dxa"/>
            <w:tcMar>
              <w:left w:w="120" w:type="dxa"/>
            </w:tcMar>
            <w:vAlign w:val="center"/>
          </w:tcPr>
          <w:p w14:paraId="520A4208">
            <w:pPr>
              <w:spacing w:line="240" w:lineRule="auto"/>
              <w:rPr>
                <w:sz w:val="28"/>
                <w:szCs w:val="28"/>
              </w:rPr>
            </w:pPr>
            <w:r>
              <w:rPr>
                <w:rFonts w:ascii="方正黑体_GBK" w:hAnsi="方正黑体_GBK" w:eastAsia="方正黑体_GBK" w:cs="宋体"/>
                <w:sz w:val="20"/>
                <w:szCs w:val="24"/>
              </w:rPr>
              <w:t>张家港市杨舍镇人民中路66号</w:t>
            </w:r>
          </w:p>
        </w:tc>
        <w:tc>
          <w:tcPr>
            <w:tcW w:w="1350" w:type="dxa"/>
            <w:tcMar>
              <w:left w:w="120" w:type="dxa"/>
            </w:tcMar>
            <w:vAlign w:val="center"/>
          </w:tcPr>
          <w:p w14:paraId="2F9DA364">
            <w:pPr>
              <w:spacing w:line="240" w:lineRule="auto"/>
              <w:rPr>
                <w:sz w:val="28"/>
                <w:szCs w:val="28"/>
              </w:rPr>
            </w:pPr>
            <w:r>
              <w:rPr>
                <w:rFonts w:ascii="方正黑体_GBK" w:hAnsi="方正黑体_GBK" w:eastAsia="方正黑体_GBK" w:cs="宋体"/>
                <w:sz w:val="20"/>
                <w:szCs w:val="24"/>
              </w:rPr>
              <w:t>96065</w:t>
            </w:r>
          </w:p>
        </w:tc>
      </w:tr>
      <w:tr w14:paraId="278BA4E3">
        <w:trPr>
          <w:trHeight w:val="300" w:hRule="atLeast"/>
        </w:trPr>
        <w:tc>
          <w:tcPr>
            <w:tcW w:w="2100" w:type="dxa"/>
            <w:tcMar>
              <w:left w:w="120" w:type="dxa"/>
            </w:tcMar>
            <w:vAlign w:val="center"/>
          </w:tcPr>
          <w:p w14:paraId="039D7FB0">
            <w:pPr>
              <w:spacing w:line="240" w:lineRule="auto"/>
              <w:rPr>
                <w:sz w:val="28"/>
                <w:szCs w:val="28"/>
              </w:rPr>
            </w:pPr>
            <w:r>
              <w:rPr>
                <w:rFonts w:ascii="方正黑体_GBK" w:hAnsi="方正黑体_GBK" w:eastAsia="方正黑体_GBK" w:cs="宋体"/>
                <w:sz w:val="20"/>
                <w:szCs w:val="24"/>
              </w:rPr>
              <w:t>江苏江阴农村商业银行股份有限公司</w:t>
            </w:r>
          </w:p>
        </w:tc>
        <w:tc>
          <w:tcPr>
            <w:tcW w:w="4050" w:type="dxa"/>
            <w:tcMar>
              <w:left w:w="120" w:type="dxa"/>
            </w:tcMar>
            <w:vAlign w:val="center"/>
          </w:tcPr>
          <w:p w14:paraId="5A533F9E">
            <w:pPr>
              <w:spacing w:line="240" w:lineRule="auto"/>
              <w:rPr>
                <w:sz w:val="28"/>
                <w:szCs w:val="28"/>
              </w:rPr>
            </w:pPr>
            <w:r>
              <w:rPr>
                <w:rFonts w:ascii="方正黑体_GBK" w:hAnsi="方正黑体_GBK" w:eastAsia="方正黑体_GBK" w:cs="宋体"/>
                <w:sz w:val="20"/>
                <w:szCs w:val="24"/>
              </w:rPr>
              <w:t>江阴市澄江中路1号</w:t>
            </w:r>
          </w:p>
        </w:tc>
        <w:tc>
          <w:tcPr>
            <w:tcW w:w="1350" w:type="dxa"/>
            <w:tcMar>
              <w:left w:w="120" w:type="dxa"/>
            </w:tcMar>
            <w:vAlign w:val="center"/>
          </w:tcPr>
          <w:p w14:paraId="2ED61937">
            <w:pPr>
              <w:spacing w:line="240" w:lineRule="auto"/>
              <w:rPr>
                <w:sz w:val="28"/>
                <w:szCs w:val="28"/>
              </w:rPr>
            </w:pPr>
            <w:r>
              <w:rPr>
                <w:rFonts w:ascii="方正黑体_GBK" w:hAnsi="方正黑体_GBK" w:eastAsia="方正黑体_GBK" w:cs="宋体"/>
                <w:sz w:val="20"/>
                <w:szCs w:val="24"/>
              </w:rPr>
              <w:t>96078</w:t>
            </w:r>
          </w:p>
        </w:tc>
      </w:tr>
      <w:tr w14:paraId="685D83D4">
        <w:trPr>
          <w:trHeight w:val="300" w:hRule="atLeast"/>
        </w:trPr>
        <w:tc>
          <w:tcPr>
            <w:tcW w:w="2100" w:type="dxa"/>
            <w:tcMar>
              <w:left w:w="120" w:type="dxa"/>
            </w:tcMar>
            <w:vAlign w:val="center"/>
          </w:tcPr>
          <w:p w14:paraId="5F26815E">
            <w:pPr>
              <w:spacing w:line="240" w:lineRule="auto"/>
              <w:rPr>
                <w:sz w:val="28"/>
                <w:szCs w:val="28"/>
              </w:rPr>
            </w:pPr>
            <w:r>
              <w:rPr>
                <w:rFonts w:ascii="方正黑体_GBK" w:hAnsi="方正黑体_GBK" w:eastAsia="方正黑体_GBK" w:cs="宋体"/>
                <w:sz w:val="20"/>
                <w:szCs w:val="24"/>
              </w:rPr>
              <w:t>江苏东海农村商业银行股份有限公司</w:t>
            </w:r>
          </w:p>
        </w:tc>
        <w:tc>
          <w:tcPr>
            <w:tcW w:w="4050" w:type="dxa"/>
            <w:tcMar>
              <w:left w:w="120" w:type="dxa"/>
            </w:tcMar>
            <w:vAlign w:val="center"/>
          </w:tcPr>
          <w:p w14:paraId="02D7C308">
            <w:pPr>
              <w:spacing w:line="240" w:lineRule="auto"/>
              <w:rPr>
                <w:sz w:val="28"/>
                <w:szCs w:val="28"/>
              </w:rPr>
            </w:pPr>
            <w:r>
              <w:rPr>
                <w:rFonts w:ascii="方正黑体_GBK" w:hAnsi="方正黑体_GBK" w:eastAsia="方正黑体_GBK" w:cs="宋体"/>
                <w:sz w:val="20"/>
                <w:szCs w:val="24"/>
              </w:rPr>
              <w:t>连云港市东海县牛山镇海陵东路8号</w:t>
            </w:r>
          </w:p>
        </w:tc>
        <w:tc>
          <w:tcPr>
            <w:tcW w:w="1350" w:type="dxa"/>
            <w:tcMar>
              <w:left w:w="120" w:type="dxa"/>
            </w:tcMar>
            <w:vAlign w:val="center"/>
          </w:tcPr>
          <w:p w14:paraId="196B379C">
            <w:pPr>
              <w:spacing w:line="240" w:lineRule="auto"/>
              <w:rPr>
                <w:sz w:val="28"/>
                <w:szCs w:val="28"/>
              </w:rPr>
            </w:pPr>
            <w:r>
              <w:rPr>
                <w:rFonts w:ascii="方正黑体_GBK" w:hAnsi="方正黑体_GBK" w:eastAsia="方正黑体_GBK" w:cs="宋体"/>
                <w:sz w:val="20"/>
                <w:szCs w:val="24"/>
              </w:rPr>
              <w:t>96008</w:t>
            </w:r>
          </w:p>
        </w:tc>
      </w:tr>
      <w:tr w14:paraId="70AA1675">
        <w:trPr>
          <w:trHeight w:val="300" w:hRule="atLeast"/>
        </w:trPr>
        <w:tc>
          <w:tcPr>
            <w:tcW w:w="2100" w:type="dxa"/>
            <w:tcMar>
              <w:left w:w="120" w:type="dxa"/>
            </w:tcMar>
            <w:vAlign w:val="center"/>
          </w:tcPr>
          <w:p w14:paraId="3B98663E">
            <w:pPr>
              <w:spacing w:line="240" w:lineRule="auto"/>
              <w:rPr>
                <w:sz w:val="28"/>
                <w:szCs w:val="28"/>
              </w:rPr>
            </w:pPr>
            <w:r>
              <w:rPr>
                <w:rFonts w:ascii="方正黑体_GBK" w:hAnsi="方正黑体_GBK" w:eastAsia="方正黑体_GBK" w:cs="宋体"/>
                <w:sz w:val="20"/>
                <w:szCs w:val="24"/>
              </w:rPr>
              <w:t>江苏高邮农村商业银行股份有限公司</w:t>
            </w:r>
          </w:p>
        </w:tc>
        <w:tc>
          <w:tcPr>
            <w:tcW w:w="4050" w:type="dxa"/>
            <w:tcMar>
              <w:left w:w="120" w:type="dxa"/>
            </w:tcMar>
            <w:vAlign w:val="center"/>
          </w:tcPr>
          <w:p w14:paraId="64476300">
            <w:pPr>
              <w:spacing w:line="240" w:lineRule="auto"/>
              <w:rPr>
                <w:sz w:val="28"/>
                <w:szCs w:val="28"/>
              </w:rPr>
            </w:pPr>
            <w:r>
              <w:rPr>
                <w:rFonts w:ascii="方正黑体_GBK" w:hAnsi="方正黑体_GBK" w:eastAsia="方正黑体_GBK" w:cs="宋体"/>
                <w:sz w:val="20"/>
                <w:szCs w:val="24"/>
              </w:rPr>
              <w:t>高邮市文游中路28号</w:t>
            </w:r>
          </w:p>
        </w:tc>
        <w:tc>
          <w:tcPr>
            <w:tcW w:w="1350" w:type="dxa"/>
            <w:tcMar>
              <w:left w:w="120" w:type="dxa"/>
            </w:tcMar>
            <w:vAlign w:val="center"/>
          </w:tcPr>
          <w:p w14:paraId="135B88DB">
            <w:pPr>
              <w:spacing w:line="240" w:lineRule="auto"/>
              <w:rPr>
                <w:sz w:val="28"/>
                <w:szCs w:val="28"/>
              </w:rPr>
            </w:pPr>
            <w:r>
              <w:rPr>
                <w:rFonts w:ascii="方正黑体_GBK" w:hAnsi="方正黑体_GBK" w:eastAsia="方正黑体_GBK" w:cs="宋体"/>
                <w:sz w:val="20"/>
                <w:szCs w:val="24"/>
              </w:rPr>
              <w:t>96008</w:t>
            </w:r>
          </w:p>
        </w:tc>
      </w:tr>
      <w:tr w14:paraId="642474E8">
        <w:trPr>
          <w:trHeight w:val="300" w:hRule="atLeast"/>
        </w:trPr>
        <w:tc>
          <w:tcPr>
            <w:tcW w:w="2100" w:type="dxa"/>
            <w:tcMar>
              <w:left w:w="120" w:type="dxa"/>
            </w:tcMar>
            <w:vAlign w:val="center"/>
          </w:tcPr>
          <w:p w14:paraId="4E33E5BE">
            <w:pPr>
              <w:spacing w:line="240" w:lineRule="auto"/>
              <w:rPr>
                <w:sz w:val="28"/>
                <w:szCs w:val="28"/>
              </w:rPr>
            </w:pPr>
            <w:r>
              <w:rPr>
                <w:rFonts w:ascii="方正黑体_GBK" w:hAnsi="方正黑体_GBK" w:eastAsia="方正黑体_GBK" w:cs="宋体"/>
                <w:sz w:val="20"/>
                <w:szCs w:val="24"/>
              </w:rPr>
              <w:t>乌鲁木齐银行股份有限公司</w:t>
            </w:r>
          </w:p>
        </w:tc>
        <w:tc>
          <w:tcPr>
            <w:tcW w:w="4050" w:type="dxa"/>
            <w:tcMar>
              <w:left w:w="120" w:type="dxa"/>
            </w:tcMar>
            <w:vAlign w:val="center"/>
          </w:tcPr>
          <w:p w14:paraId="4D3336F6">
            <w:pPr>
              <w:spacing w:line="240" w:lineRule="auto"/>
              <w:rPr>
                <w:sz w:val="28"/>
                <w:szCs w:val="28"/>
              </w:rPr>
            </w:pPr>
            <w:r>
              <w:rPr>
                <w:rFonts w:ascii="方正黑体_GBK" w:hAnsi="方正黑体_GBK" w:eastAsia="方正黑体_GBK" w:cs="宋体"/>
                <w:sz w:val="20"/>
                <w:szCs w:val="24"/>
              </w:rPr>
              <w:t>新疆乌鲁木齐市水磨沟区会展大道 599 号新疆财富中心 A 座 4-31 层</w:t>
            </w:r>
          </w:p>
        </w:tc>
        <w:tc>
          <w:tcPr>
            <w:tcW w:w="1350" w:type="dxa"/>
            <w:tcMar>
              <w:left w:w="120" w:type="dxa"/>
            </w:tcMar>
            <w:vAlign w:val="center"/>
          </w:tcPr>
          <w:p w14:paraId="70D3400A">
            <w:pPr>
              <w:spacing w:line="240" w:lineRule="auto"/>
              <w:rPr>
                <w:sz w:val="28"/>
                <w:szCs w:val="28"/>
              </w:rPr>
            </w:pPr>
            <w:r>
              <w:rPr>
                <w:rFonts w:ascii="方正黑体_GBK" w:hAnsi="方正黑体_GBK" w:eastAsia="方正黑体_GBK" w:cs="宋体"/>
                <w:sz w:val="20"/>
                <w:szCs w:val="24"/>
              </w:rPr>
              <w:t>0991-96518</w:t>
            </w:r>
          </w:p>
        </w:tc>
      </w:tr>
      <w:tr w14:paraId="7558A19A">
        <w:trPr>
          <w:trHeight w:val="300" w:hRule="atLeast"/>
        </w:trPr>
        <w:tc>
          <w:tcPr>
            <w:tcW w:w="2100" w:type="dxa"/>
            <w:tcMar>
              <w:left w:w="120" w:type="dxa"/>
            </w:tcMar>
            <w:vAlign w:val="center"/>
          </w:tcPr>
          <w:p w14:paraId="6BFC21BF">
            <w:pPr>
              <w:spacing w:line="240" w:lineRule="auto"/>
              <w:rPr>
                <w:sz w:val="28"/>
                <w:szCs w:val="28"/>
              </w:rPr>
            </w:pPr>
            <w:r>
              <w:rPr>
                <w:rFonts w:ascii="方正黑体_GBK" w:hAnsi="方正黑体_GBK" w:eastAsia="方正黑体_GBK" w:cs="宋体"/>
                <w:sz w:val="20"/>
                <w:szCs w:val="24"/>
              </w:rPr>
              <w:t>河北银行股份有限公司</w:t>
            </w:r>
          </w:p>
        </w:tc>
        <w:tc>
          <w:tcPr>
            <w:tcW w:w="4050" w:type="dxa"/>
            <w:tcMar>
              <w:left w:w="120" w:type="dxa"/>
            </w:tcMar>
            <w:vAlign w:val="center"/>
          </w:tcPr>
          <w:p w14:paraId="383C51B7">
            <w:pPr>
              <w:spacing w:line="240" w:lineRule="auto"/>
              <w:rPr>
                <w:sz w:val="28"/>
                <w:szCs w:val="28"/>
              </w:rPr>
            </w:pPr>
            <w:r>
              <w:rPr>
                <w:rFonts w:ascii="方正黑体_GBK" w:hAnsi="方正黑体_GBK" w:eastAsia="方正黑体_GBK" w:cs="宋体"/>
                <w:sz w:val="20"/>
                <w:szCs w:val="24"/>
              </w:rPr>
              <w:t>河北省石家庄市平安北大街 28 号</w:t>
            </w:r>
          </w:p>
        </w:tc>
        <w:tc>
          <w:tcPr>
            <w:tcW w:w="1350" w:type="dxa"/>
            <w:tcMar>
              <w:left w:w="120" w:type="dxa"/>
            </w:tcMar>
            <w:vAlign w:val="center"/>
          </w:tcPr>
          <w:p w14:paraId="50108803">
            <w:pPr>
              <w:spacing w:line="240" w:lineRule="auto"/>
              <w:rPr>
                <w:sz w:val="28"/>
                <w:szCs w:val="28"/>
              </w:rPr>
            </w:pPr>
            <w:r>
              <w:rPr>
                <w:rFonts w:ascii="方正黑体_GBK" w:hAnsi="方正黑体_GBK" w:eastAsia="方正黑体_GBK" w:cs="宋体"/>
                <w:sz w:val="20"/>
                <w:szCs w:val="24"/>
              </w:rPr>
              <w:t>400-612-9999</w:t>
            </w:r>
          </w:p>
        </w:tc>
      </w:tr>
      <w:tr w14:paraId="5B1C6B6D">
        <w:trPr>
          <w:trHeight w:val="300" w:hRule="atLeast"/>
        </w:trPr>
        <w:tc>
          <w:tcPr>
            <w:tcW w:w="2100" w:type="dxa"/>
            <w:tcMar>
              <w:left w:w="120" w:type="dxa"/>
            </w:tcMar>
            <w:vAlign w:val="center"/>
          </w:tcPr>
          <w:p w14:paraId="567C8D0C">
            <w:pPr>
              <w:spacing w:line="240" w:lineRule="auto"/>
              <w:rPr>
                <w:sz w:val="28"/>
                <w:szCs w:val="28"/>
              </w:rPr>
            </w:pPr>
            <w:r>
              <w:rPr>
                <w:rFonts w:ascii="方正黑体_GBK" w:hAnsi="方正黑体_GBK" w:eastAsia="方正黑体_GBK" w:cs="宋体"/>
                <w:sz w:val="20"/>
                <w:szCs w:val="24"/>
              </w:rPr>
              <w:t>郑州银行股份有限公司</w:t>
            </w:r>
          </w:p>
        </w:tc>
        <w:tc>
          <w:tcPr>
            <w:tcW w:w="4050" w:type="dxa"/>
            <w:tcMar>
              <w:left w:w="120" w:type="dxa"/>
            </w:tcMar>
            <w:vAlign w:val="center"/>
          </w:tcPr>
          <w:p w14:paraId="6D135678">
            <w:pPr>
              <w:spacing w:line="240" w:lineRule="auto"/>
              <w:rPr>
                <w:sz w:val="28"/>
                <w:szCs w:val="28"/>
              </w:rPr>
            </w:pPr>
            <w:r>
              <w:rPr>
                <w:rFonts w:ascii="方正黑体_GBK" w:hAnsi="方正黑体_GBK" w:eastAsia="方正黑体_GBK" w:cs="宋体"/>
                <w:sz w:val="20"/>
                <w:szCs w:val="24"/>
              </w:rPr>
              <w:t>郑州市郑东新区商务外环路22号</w:t>
            </w:r>
          </w:p>
        </w:tc>
        <w:tc>
          <w:tcPr>
            <w:tcW w:w="1350" w:type="dxa"/>
            <w:tcMar>
              <w:left w:w="120" w:type="dxa"/>
            </w:tcMar>
            <w:vAlign w:val="center"/>
          </w:tcPr>
          <w:p w14:paraId="1A6A3108">
            <w:pPr>
              <w:spacing w:line="240" w:lineRule="auto"/>
              <w:rPr>
                <w:sz w:val="28"/>
                <w:szCs w:val="28"/>
              </w:rPr>
            </w:pPr>
            <w:r>
              <w:rPr>
                <w:rFonts w:ascii="方正黑体_GBK" w:hAnsi="方正黑体_GBK" w:eastAsia="方正黑体_GBK" w:cs="宋体"/>
                <w:sz w:val="20"/>
                <w:szCs w:val="24"/>
              </w:rPr>
              <w:t>95097</w:t>
            </w:r>
          </w:p>
        </w:tc>
      </w:tr>
      <w:tr w14:paraId="281D1A11">
        <w:trPr>
          <w:trHeight w:val="300" w:hRule="atLeast"/>
        </w:trPr>
        <w:tc>
          <w:tcPr>
            <w:tcW w:w="2100" w:type="dxa"/>
            <w:tcMar>
              <w:left w:w="120" w:type="dxa"/>
            </w:tcMar>
            <w:vAlign w:val="center"/>
          </w:tcPr>
          <w:p w14:paraId="40802DE4">
            <w:pPr>
              <w:spacing w:line="240" w:lineRule="auto"/>
              <w:rPr>
                <w:sz w:val="28"/>
                <w:szCs w:val="28"/>
              </w:rPr>
            </w:pPr>
            <w:r>
              <w:rPr>
                <w:rFonts w:ascii="方正黑体_GBK" w:hAnsi="方正黑体_GBK" w:eastAsia="方正黑体_GBK" w:cs="宋体"/>
                <w:sz w:val="20"/>
                <w:szCs w:val="24"/>
              </w:rPr>
              <w:t>江苏姜堰农村商业银行股份有限公司</w:t>
            </w:r>
          </w:p>
        </w:tc>
        <w:tc>
          <w:tcPr>
            <w:tcW w:w="4050" w:type="dxa"/>
            <w:tcMar>
              <w:left w:w="120" w:type="dxa"/>
            </w:tcMar>
            <w:vAlign w:val="center"/>
          </w:tcPr>
          <w:p w14:paraId="0D3C940B">
            <w:pPr>
              <w:spacing w:line="240" w:lineRule="auto"/>
              <w:rPr>
                <w:sz w:val="28"/>
                <w:szCs w:val="28"/>
              </w:rPr>
            </w:pPr>
            <w:r>
              <w:rPr>
                <w:rFonts w:ascii="方正黑体_GBK" w:hAnsi="方正黑体_GBK" w:eastAsia="方正黑体_GBK" w:cs="宋体"/>
                <w:sz w:val="20"/>
                <w:szCs w:val="24"/>
              </w:rPr>
              <w:t>泰州市姜堰区姜堰大道128号</w:t>
            </w:r>
          </w:p>
        </w:tc>
        <w:tc>
          <w:tcPr>
            <w:tcW w:w="1350" w:type="dxa"/>
            <w:tcMar>
              <w:left w:w="120" w:type="dxa"/>
            </w:tcMar>
            <w:vAlign w:val="center"/>
          </w:tcPr>
          <w:p w14:paraId="221B79FD">
            <w:pPr>
              <w:spacing w:line="240" w:lineRule="auto"/>
              <w:rPr>
                <w:sz w:val="28"/>
                <w:szCs w:val="28"/>
              </w:rPr>
            </w:pPr>
            <w:r>
              <w:rPr>
                <w:rFonts w:ascii="方正黑体_GBK" w:hAnsi="方正黑体_GBK" w:eastAsia="方正黑体_GBK" w:cs="宋体"/>
                <w:sz w:val="20"/>
                <w:szCs w:val="24"/>
              </w:rPr>
              <w:t>96008</w:t>
            </w:r>
          </w:p>
        </w:tc>
      </w:tr>
      <w:tr w14:paraId="1332EEFE">
        <w:trPr>
          <w:trHeight w:val="300" w:hRule="atLeast"/>
        </w:trPr>
        <w:tc>
          <w:tcPr>
            <w:tcW w:w="2100" w:type="dxa"/>
            <w:tcMar>
              <w:left w:w="120" w:type="dxa"/>
            </w:tcMar>
            <w:vAlign w:val="center"/>
          </w:tcPr>
          <w:p w14:paraId="19562431">
            <w:pPr>
              <w:spacing w:line="240" w:lineRule="auto"/>
              <w:rPr>
                <w:sz w:val="28"/>
                <w:szCs w:val="28"/>
              </w:rPr>
            </w:pPr>
            <w:r>
              <w:rPr>
                <w:rFonts w:ascii="方正黑体_GBK" w:hAnsi="方正黑体_GBK" w:eastAsia="方正黑体_GBK" w:cs="宋体"/>
                <w:sz w:val="20"/>
                <w:szCs w:val="24"/>
              </w:rPr>
              <w:t>山西银行股份有限公司</w:t>
            </w:r>
          </w:p>
        </w:tc>
        <w:tc>
          <w:tcPr>
            <w:tcW w:w="4050" w:type="dxa"/>
            <w:tcMar>
              <w:left w:w="120" w:type="dxa"/>
            </w:tcMar>
            <w:vAlign w:val="center"/>
          </w:tcPr>
          <w:p w14:paraId="3C32465A">
            <w:pPr>
              <w:spacing w:line="240" w:lineRule="auto"/>
              <w:rPr>
                <w:sz w:val="28"/>
                <w:szCs w:val="28"/>
              </w:rPr>
            </w:pPr>
            <w:r>
              <w:rPr>
                <w:rFonts w:ascii="方正黑体_GBK" w:hAnsi="方正黑体_GBK" w:eastAsia="方正黑体_GBK" w:cs="宋体"/>
                <w:sz w:val="20"/>
                <w:szCs w:val="24"/>
              </w:rPr>
              <w:t>山西转型综合改革示范区学府产业园高新街15号</w:t>
            </w:r>
          </w:p>
        </w:tc>
        <w:tc>
          <w:tcPr>
            <w:tcW w:w="1350" w:type="dxa"/>
            <w:tcMar>
              <w:left w:w="120" w:type="dxa"/>
            </w:tcMar>
            <w:vAlign w:val="center"/>
          </w:tcPr>
          <w:p w14:paraId="7FD1D522">
            <w:pPr>
              <w:spacing w:line="240" w:lineRule="auto"/>
              <w:rPr>
                <w:sz w:val="28"/>
                <w:szCs w:val="28"/>
              </w:rPr>
            </w:pPr>
            <w:r>
              <w:rPr>
                <w:rFonts w:ascii="方正黑体_GBK" w:hAnsi="方正黑体_GBK" w:eastAsia="方正黑体_GBK" w:cs="宋体"/>
                <w:sz w:val="20"/>
                <w:szCs w:val="24"/>
              </w:rPr>
              <w:t>0351-96588</w:t>
            </w:r>
          </w:p>
        </w:tc>
      </w:tr>
      <w:tr w14:paraId="7BDB4B7A">
        <w:trPr>
          <w:trHeight w:val="300" w:hRule="atLeast"/>
        </w:trPr>
        <w:tc>
          <w:tcPr>
            <w:tcW w:w="2100" w:type="dxa"/>
            <w:tcMar>
              <w:left w:w="120" w:type="dxa"/>
            </w:tcMar>
            <w:vAlign w:val="center"/>
          </w:tcPr>
          <w:p w14:paraId="3C33C6DF">
            <w:pPr>
              <w:spacing w:line="240" w:lineRule="auto"/>
              <w:rPr>
                <w:sz w:val="28"/>
                <w:szCs w:val="28"/>
              </w:rPr>
            </w:pPr>
            <w:r>
              <w:rPr>
                <w:rFonts w:ascii="方正黑体_GBK" w:hAnsi="方正黑体_GBK" w:eastAsia="方正黑体_GBK" w:cs="宋体"/>
                <w:sz w:val="20"/>
                <w:szCs w:val="24"/>
              </w:rPr>
              <w:t>江苏如东农村商业银行股份有限公司</w:t>
            </w:r>
          </w:p>
        </w:tc>
        <w:tc>
          <w:tcPr>
            <w:tcW w:w="4050" w:type="dxa"/>
            <w:tcMar>
              <w:left w:w="120" w:type="dxa"/>
            </w:tcMar>
            <w:vAlign w:val="center"/>
          </w:tcPr>
          <w:p w14:paraId="3EDC27BB">
            <w:pPr>
              <w:spacing w:line="240" w:lineRule="auto"/>
              <w:rPr>
                <w:sz w:val="28"/>
                <w:szCs w:val="28"/>
              </w:rPr>
            </w:pPr>
            <w:r>
              <w:rPr>
                <w:rFonts w:ascii="方正黑体_GBK" w:hAnsi="方正黑体_GBK" w:eastAsia="方正黑体_GBK" w:cs="宋体"/>
                <w:sz w:val="20"/>
                <w:szCs w:val="24"/>
              </w:rPr>
              <w:t>江苏省如东县掘港镇钟山路66号</w:t>
            </w:r>
          </w:p>
        </w:tc>
        <w:tc>
          <w:tcPr>
            <w:tcW w:w="1350" w:type="dxa"/>
            <w:tcMar>
              <w:left w:w="120" w:type="dxa"/>
            </w:tcMar>
            <w:vAlign w:val="center"/>
          </w:tcPr>
          <w:p w14:paraId="31BFAE0B">
            <w:pPr>
              <w:spacing w:line="240" w:lineRule="auto"/>
              <w:rPr>
                <w:sz w:val="28"/>
                <w:szCs w:val="28"/>
              </w:rPr>
            </w:pPr>
            <w:r>
              <w:rPr>
                <w:rFonts w:ascii="方正黑体_GBK" w:hAnsi="方正黑体_GBK" w:eastAsia="方正黑体_GBK" w:cs="宋体"/>
                <w:sz w:val="20"/>
                <w:szCs w:val="24"/>
              </w:rPr>
              <w:t>96008</w:t>
            </w:r>
          </w:p>
        </w:tc>
      </w:tr>
      <w:tr w14:paraId="1F785D01">
        <w:trPr>
          <w:trHeight w:val="300" w:hRule="atLeast"/>
        </w:trPr>
        <w:tc>
          <w:tcPr>
            <w:tcW w:w="2100" w:type="dxa"/>
            <w:tcMar>
              <w:left w:w="120" w:type="dxa"/>
            </w:tcMar>
            <w:vAlign w:val="center"/>
          </w:tcPr>
          <w:p w14:paraId="556DE592">
            <w:pPr>
              <w:spacing w:line="240" w:lineRule="auto"/>
              <w:rPr>
                <w:sz w:val="28"/>
                <w:szCs w:val="28"/>
              </w:rPr>
            </w:pPr>
            <w:r>
              <w:rPr>
                <w:rFonts w:ascii="方正黑体_GBK" w:hAnsi="方正黑体_GBK" w:eastAsia="方正黑体_GBK" w:cs="宋体"/>
                <w:sz w:val="20"/>
                <w:szCs w:val="24"/>
              </w:rPr>
              <w:t>北京银行股份有限公司</w:t>
            </w:r>
          </w:p>
        </w:tc>
        <w:tc>
          <w:tcPr>
            <w:tcW w:w="4050" w:type="dxa"/>
            <w:tcMar>
              <w:left w:w="120" w:type="dxa"/>
            </w:tcMar>
            <w:vAlign w:val="center"/>
          </w:tcPr>
          <w:p w14:paraId="7E1529BE">
            <w:pPr>
              <w:spacing w:line="240" w:lineRule="auto"/>
              <w:rPr>
                <w:sz w:val="28"/>
                <w:szCs w:val="28"/>
              </w:rPr>
            </w:pPr>
            <w:r>
              <w:rPr>
                <w:rFonts w:ascii="方正黑体_GBK" w:hAnsi="方正黑体_GBK" w:eastAsia="方正黑体_GBK" w:cs="宋体"/>
                <w:sz w:val="20"/>
                <w:szCs w:val="24"/>
              </w:rPr>
              <w:t>北京市西城区金融大街甲17号首层</w:t>
            </w:r>
          </w:p>
        </w:tc>
        <w:tc>
          <w:tcPr>
            <w:tcW w:w="1350" w:type="dxa"/>
            <w:tcMar>
              <w:left w:w="120" w:type="dxa"/>
            </w:tcMar>
            <w:vAlign w:val="center"/>
          </w:tcPr>
          <w:p w14:paraId="0EB0295D">
            <w:pPr>
              <w:spacing w:line="240" w:lineRule="auto"/>
              <w:rPr>
                <w:sz w:val="28"/>
                <w:szCs w:val="28"/>
              </w:rPr>
            </w:pPr>
            <w:r>
              <w:rPr>
                <w:rFonts w:ascii="方正黑体_GBK" w:hAnsi="方正黑体_GBK" w:eastAsia="方正黑体_GBK" w:cs="宋体"/>
                <w:sz w:val="20"/>
                <w:szCs w:val="24"/>
              </w:rPr>
              <w:t>010-66426500</w:t>
            </w:r>
          </w:p>
        </w:tc>
      </w:tr>
      <w:tr w14:paraId="4620188D">
        <w:trPr>
          <w:trHeight w:val="300" w:hRule="atLeast"/>
        </w:trPr>
        <w:tc>
          <w:tcPr>
            <w:tcW w:w="2100" w:type="dxa"/>
            <w:tcMar>
              <w:left w:w="120" w:type="dxa"/>
            </w:tcMar>
            <w:vAlign w:val="center"/>
          </w:tcPr>
          <w:p w14:paraId="2A1E3C57">
            <w:pPr>
              <w:spacing w:line="240" w:lineRule="auto"/>
              <w:rPr>
                <w:sz w:val="28"/>
                <w:szCs w:val="28"/>
              </w:rPr>
            </w:pPr>
            <w:r>
              <w:rPr>
                <w:rFonts w:ascii="方正黑体_GBK" w:hAnsi="方正黑体_GBK" w:eastAsia="方正黑体_GBK" w:cs="宋体"/>
                <w:sz w:val="20"/>
                <w:szCs w:val="24"/>
              </w:rPr>
              <w:t>哈密市商业银行股份有限公司</w:t>
            </w:r>
          </w:p>
        </w:tc>
        <w:tc>
          <w:tcPr>
            <w:tcW w:w="4050" w:type="dxa"/>
            <w:tcMar>
              <w:left w:w="120" w:type="dxa"/>
            </w:tcMar>
            <w:vAlign w:val="center"/>
          </w:tcPr>
          <w:p w14:paraId="1AE9720B">
            <w:pPr>
              <w:spacing w:line="240" w:lineRule="auto"/>
              <w:rPr>
                <w:sz w:val="28"/>
                <w:szCs w:val="28"/>
              </w:rPr>
            </w:pPr>
            <w:r>
              <w:rPr>
                <w:rFonts w:ascii="方正黑体_GBK" w:hAnsi="方正黑体_GBK" w:eastAsia="方正黑体_GBK" w:cs="宋体"/>
                <w:sz w:val="20"/>
                <w:szCs w:val="24"/>
              </w:rPr>
              <w:t>新疆哈密市伊州区天山北路 52 号</w:t>
            </w:r>
          </w:p>
        </w:tc>
        <w:tc>
          <w:tcPr>
            <w:tcW w:w="1350" w:type="dxa"/>
            <w:tcMar>
              <w:left w:w="120" w:type="dxa"/>
            </w:tcMar>
            <w:vAlign w:val="center"/>
          </w:tcPr>
          <w:p w14:paraId="40DE97C7">
            <w:pPr>
              <w:spacing w:line="240" w:lineRule="auto"/>
              <w:rPr>
                <w:sz w:val="28"/>
                <w:szCs w:val="28"/>
              </w:rPr>
            </w:pPr>
            <w:r>
              <w:rPr>
                <w:rFonts w:ascii="方正黑体_GBK" w:hAnsi="方正黑体_GBK" w:eastAsia="方正黑体_GBK" w:cs="宋体"/>
                <w:sz w:val="20"/>
                <w:szCs w:val="24"/>
              </w:rPr>
              <w:t>0902-2365320</w:t>
            </w:r>
          </w:p>
        </w:tc>
      </w:tr>
      <w:tr w14:paraId="3BB6849B">
        <w:trPr>
          <w:trHeight w:val="300" w:hRule="atLeast"/>
        </w:trPr>
        <w:tc>
          <w:tcPr>
            <w:tcW w:w="2100" w:type="dxa"/>
            <w:tcMar>
              <w:left w:w="120" w:type="dxa"/>
            </w:tcMar>
            <w:vAlign w:val="center"/>
          </w:tcPr>
          <w:p w14:paraId="15408183">
            <w:pPr>
              <w:spacing w:line="240" w:lineRule="auto"/>
              <w:rPr>
                <w:sz w:val="28"/>
                <w:szCs w:val="28"/>
              </w:rPr>
            </w:pPr>
            <w:r>
              <w:rPr>
                <w:rFonts w:ascii="方正黑体_GBK" w:hAnsi="方正黑体_GBK" w:eastAsia="方正黑体_GBK" w:cs="宋体"/>
                <w:sz w:val="20"/>
                <w:szCs w:val="24"/>
              </w:rPr>
              <w:t>江苏赣榆农村商业银行股份有限公司</w:t>
            </w:r>
          </w:p>
        </w:tc>
        <w:tc>
          <w:tcPr>
            <w:tcW w:w="4050" w:type="dxa"/>
            <w:tcMar>
              <w:left w:w="120" w:type="dxa"/>
            </w:tcMar>
            <w:vAlign w:val="center"/>
          </w:tcPr>
          <w:p w14:paraId="5F3BE722">
            <w:pPr>
              <w:spacing w:line="240" w:lineRule="auto"/>
              <w:rPr>
                <w:sz w:val="28"/>
                <w:szCs w:val="28"/>
              </w:rPr>
            </w:pPr>
            <w:r>
              <w:rPr>
                <w:rFonts w:ascii="方正黑体_GBK" w:hAnsi="方正黑体_GBK" w:eastAsia="方正黑体_GBK" w:cs="宋体"/>
                <w:sz w:val="20"/>
                <w:szCs w:val="24"/>
              </w:rPr>
              <w:t>连云港市赣榆区黄海东路304号</w:t>
            </w:r>
          </w:p>
        </w:tc>
        <w:tc>
          <w:tcPr>
            <w:tcW w:w="1350" w:type="dxa"/>
            <w:tcMar>
              <w:left w:w="120" w:type="dxa"/>
            </w:tcMar>
            <w:vAlign w:val="center"/>
          </w:tcPr>
          <w:p w14:paraId="15E739B6">
            <w:pPr>
              <w:spacing w:line="240" w:lineRule="auto"/>
              <w:rPr>
                <w:sz w:val="28"/>
                <w:szCs w:val="28"/>
              </w:rPr>
            </w:pPr>
            <w:r>
              <w:rPr>
                <w:rFonts w:ascii="方正黑体_GBK" w:hAnsi="方正黑体_GBK" w:eastAsia="方正黑体_GBK" w:cs="宋体"/>
                <w:sz w:val="20"/>
                <w:szCs w:val="24"/>
              </w:rPr>
              <w:t>96008</w:t>
            </w:r>
          </w:p>
        </w:tc>
      </w:tr>
      <w:tr w14:paraId="1F11EE0E">
        <w:trPr>
          <w:trHeight w:val="300" w:hRule="atLeast"/>
        </w:trPr>
        <w:tc>
          <w:tcPr>
            <w:tcW w:w="2100" w:type="dxa"/>
            <w:tcMar>
              <w:left w:w="120" w:type="dxa"/>
            </w:tcMar>
            <w:vAlign w:val="center"/>
          </w:tcPr>
          <w:p w14:paraId="5EF4594D">
            <w:pPr>
              <w:spacing w:line="240" w:lineRule="auto"/>
              <w:rPr>
                <w:sz w:val="28"/>
                <w:szCs w:val="28"/>
              </w:rPr>
            </w:pPr>
            <w:r>
              <w:rPr>
                <w:rFonts w:ascii="方正黑体_GBK" w:hAnsi="方正黑体_GBK" w:eastAsia="方正黑体_GBK" w:cs="宋体"/>
                <w:sz w:val="20"/>
                <w:szCs w:val="24"/>
              </w:rPr>
              <w:t>江苏盱眙农村商业银行股份有限公司</w:t>
            </w:r>
          </w:p>
        </w:tc>
        <w:tc>
          <w:tcPr>
            <w:tcW w:w="4050" w:type="dxa"/>
            <w:tcMar>
              <w:left w:w="120" w:type="dxa"/>
            </w:tcMar>
            <w:vAlign w:val="center"/>
          </w:tcPr>
          <w:p w14:paraId="66D6E1D0">
            <w:pPr>
              <w:spacing w:line="240" w:lineRule="auto"/>
              <w:rPr>
                <w:sz w:val="28"/>
                <w:szCs w:val="28"/>
              </w:rPr>
            </w:pPr>
            <w:r>
              <w:rPr>
                <w:rFonts w:ascii="方正黑体_GBK" w:hAnsi="方正黑体_GBK" w:eastAsia="方正黑体_GBK" w:cs="宋体"/>
                <w:sz w:val="20"/>
                <w:szCs w:val="24"/>
              </w:rPr>
              <w:t>江苏省盱眙县合欢大道2号</w:t>
            </w:r>
          </w:p>
        </w:tc>
        <w:tc>
          <w:tcPr>
            <w:tcW w:w="1350" w:type="dxa"/>
            <w:tcMar>
              <w:left w:w="120" w:type="dxa"/>
            </w:tcMar>
            <w:vAlign w:val="center"/>
          </w:tcPr>
          <w:p w14:paraId="799B420C">
            <w:pPr>
              <w:spacing w:line="240" w:lineRule="auto"/>
              <w:rPr>
                <w:sz w:val="28"/>
                <w:szCs w:val="28"/>
              </w:rPr>
            </w:pPr>
            <w:r>
              <w:rPr>
                <w:rFonts w:ascii="方正黑体_GBK" w:hAnsi="方正黑体_GBK" w:eastAsia="方正黑体_GBK" w:cs="宋体"/>
                <w:sz w:val="20"/>
                <w:szCs w:val="24"/>
              </w:rPr>
              <w:t>96008</w:t>
            </w:r>
          </w:p>
        </w:tc>
      </w:tr>
      <w:tr w14:paraId="7E04DFC8">
        <w:trPr>
          <w:trHeight w:val="300" w:hRule="atLeast"/>
        </w:trPr>
        <w:tc>
          <w:tcPr>
            <w:tcW w:w="2100" w:type="dxa"/>
            <w:tcMar>
              <w:left w:w="120" w:type="dxa"/>
            </w:tcMar>
            <w:vAlign w:val="center"/>
          </w:tcPr>
          <w:p w14:paraId="6A500E65">
            <w:pPr>
              <w:spacing w:line="240" w:lineRule="auto"/>
              <w:rPr>
                <w:sz w:val="28"/>
                <w:szCs w:val="28"/>
              </w:rPr>
            </w:pPr>
            <w:r>
              <w:rPr>
                <w:rFonts w:ascii="方正黑体_GBK" w:hAnsi="方正黑体_GBK" w:eastAsia="方正黑体_GBK" w:cs="宋体"/>
                <w:sz w:val="20"/>
                <w:szCs w:val="24"/>
              </w:rPr>
              <w:t>兰州银行股份有限公司</w:t>
            </w:r>
          </w:p>
        </w:tc>
        <w:tc>
          <w:tcPr>
            <w:tcW w:w="4050" w:type="dxa"/>
            <w:tcMar>
              <w:left w:w="120" w:type="dxa"/>
            </w:tcMar>
            <w:vAlign w:val="center"/>
          </w:tcPr>
          <w:p w14:paraId="54699BFE">
            <w:pPr>
              <w:spacing w:line="240" w:lineRule="auto"/>
              <w:rPr>
                <w:sz w:val="28"/>
                <w:szCs w:val="28"/>
              </w:rPr>
            </w:pPr>
            <w:r>
              <w:rPr>
                <w:rFonts w:ascii="方正黑体_GBK" w:hAnsi="方正黑体_GBK" w:eastAsia="方正黑体_GBK" w:cs="宋体"/>
                <w:sz w:val="20"/>
                <w:szCs w:val="24"/>
              </w:rPr>
              <w:t>甘肃省兰州市城关区酒泉路 211 号</w:t>
            </w:r>
          </w:p>
        </w:tc>
        <w:tc>
          <w:tcPr>
            <w:tcW w:w="1350" w:type="dxa"/>
            <w:tcMar>
              <w:left w:w="120" w:type="dxa"/>
            </w:tcMar>
            <w:vAlign w:val="center"/>
          </w:tcPr>
          <w:p w14:paraId="71D4347D">
            <w:pPr>
              <w:spacing w:line="240" w:lineRule="auto"/>
              <w:rPr>
                <w:sz w:val="28"/>
                <w:szCs w:val="28"/>
              </w:rPr>
            </w:pPr>
            <w:r>
              <w:rPr>
                <w:rFonts w:ascii="方正黑体_GBK" w:hAnsi="方正黑体_GBK" w:eastAsia="方正黑体_GBK" w:cs="宋体"/>
                <w:sz w:val="20"/>
                <w:szCs w:val="24"/>
              </w:rPr>
              <w:t>96799</w:t>
            </w:r>
          </w:p>
        </w:tc>
      </w:tr>
      <w:tr w14:paraId="3C43ECC7">
        <w:trPr>
          <w:trHeight w:val="300" w:hRule="atLeast"/>
        </w:trPr>
        <w:tc>
          <w:tcPr>
            <w:tcW w:w="2100" w:type="dxa"/>
            <w:tcMar>
              <w:left w:w="120" w:type="dxa"/>
            </w:tcMar>
            <w:vAlign w:val="center"/>
          </w:tcPr>
          <w:p w14:paraId="418F1989">
            <w:pPr>
              <w:spacing w:line="240" w:lineRule="auto"/>
              <w:rPr>
                <w:sz w:val="28"/>
                <w:szCs w:val="28"/>
              </w:rPr>
            </w:pPr>
            <w:r>
              <w:rPr>
                <w:rFonts w:ascii="方正黑体_GBK" w:hAnsi="方正黑体_GBK" w:eastAsia="方正黑体_GBK" w:cs="宋体"/>
                <w:sz w:val="20"/>
                <w:szCs w:val="24"/>
              </w:rPr>
              <w:t>东营银行股份有限公司</w:t>
            </w:r>
          </w:p>
        </w:tc>
        <w:tc>
          <w:tcPr>
            <w:tcW w:w="4050" w:type="dxa"/>
            <w:tcMar>
              <w:left w:w="120" w:type="dxa"/>
            </w:tcMar>
            <w:vAlign w:val="center"/>
          </w:tcPr>
          <w:p w14:paraId="74FFEEFF">
            <w:pPr>
              <w:spacing w:line="240" w:lineRule="auto"/>
              <w:rPr>
                <w:sz w:val="28"/>
                <w:szCs w:val="28"/>
              </w:rPr>
            </w:pPr>
            <w:r>
              <w:rPr>
                <w:rFonts w:ascii="方正黑体_GBK" w:hAnsi="方正黑体_GBK" w:eastAsia="方正黑体_GBK" w:cs="宋体"/>
                <w:sz w:val="20"/>
                <w:szCs w:val="24"/>
              </w:rPr>
              <w:t>山东省东营市东营区府前大街87-1号</w:t>
            </w:r>
          </w:p>
        </w:tc>
        <w:tc>
          <w:tcPr>
            <w:tcW w:w="1350" w:type="dxa"/>
            <w:tcMar>
              <w:left w:w="120" w:type="dxa"/>
            </w:tcMar>
            <w:vAlign w:val="center"/>
          </w:tcPr>
          <w:p w14:paraId="6306708A">
            <w:pPr>
              <w:spacing w:line="240" w:lineRule="auto"/>
              <w:rPr>
                <w:sz w:val="28"/>
                <w:szCs w:val="28"/>
              </w:rPr>
            </w:pPr>
            <w:r>
              <w:rPr>
                <w:rFonts w:ascii="方正黑体_GBK" w:hAnsi="方正黑体_GBK" w:eastAsia="方正黑体_GBK" w:cs="宋体"/>
                <w:sz w:val="20"/>
                <w:szCs w:val="24"/>
              </w:rPr>
              <w:t>0546-96588/400-6296588</w:t>
            </w:r>
          </w:p>
        </w:tc>
      </w:tr>
      <w:tr w14:paraId="08CE85EB">
        <w:trPr>
          <w:trHeight w:val="300" w:hRule="atLeast"/>
        </w:trPr>
        <w:tc>
          <w:tcPr>
            <w:tcW w:w="2100" w:type="dxa"/>
            <w:tcMar>
              <w:left w:w="120" w:type="dxa"/>
            </w:tcMar>
            <w:vAlign w:val="center"/>
          </w:tcPr>
          <w:p w14:paraId="27B6C8B0">
            <w:pPr>
              <w:spacing w:line="240" w:lineRule="auto"/>
              <w:rPr>
                <w:sz w:val="28"/>
                <w:szCs w:val="28"/>
              </w:rPr>
            </w:pPr>
            <w:r>
              <w:rPr>
                <w:rFonts w:ascii="方正黑体_GBK" w:hAnsi="方正黑体_GBK" w:eastAsia="方正黑体_GBK" w:cs="宋体"/>
                <w:sz w:val="20"/>
                <w:szCs w:val="24"/>
              </w:rPr>
              <w:t>甘肃银行股份有限公司</w:t>
            </w:r>
          </w:p>
        </w:tc>
        <w:tc>
          <w:tcPr>
            <w:tcW w:w="4050" w:type="dxa"/>
            <w:tcMar>
              <w:left w:w="120" w:type="dxa"/>
            </w:tcMar>
            <w:vAlign w:val="center"/>
          </w:tcPr>
          <w:p w14:paraId="57104948">
            <w:pPr>
              <w:spacing w:line="240" w:lineRule="auto"/>
              <w:rPr>
                <w:sz w:val="28"/>
                <w:szCs w:val="28"/>
              </w:rPr>
            </w:pPr>
            <w:r>
              <w:rPr>
                <w:rFonts w:ascii="方正黑体_GBK" w:hAnsi="方正黑体_GBK" w:eastAsia="方正黑体_GBK" w:cs="宋体"/>
                <w:sz w:val="20"/>
                <w:szCs w:val="24"/>
              </w:rPr>
              <w:t>甘肃省兰州市城关区东岗西路 525-1 号甘肃银行大厦</w:t>
            </w:r>
          </w:p>
        </w:tc>
        <w:tc>
          <w:tcPr>
            <w:tcW w:w="1350" w:type="dxa"/>
            <w:tcMar>
              <w:left w:w="120" w:type="dxa"/>
            </w:tcMar>
            <w:vAlign w:val="center"/>
          </w:tcPr>
          <w:p w14:paraId="532A8371">
            <w:pPr>
              <w:spacing w:line="240" w:lineRule="auto"/>
              <w:rPr>
                <w:sz w:val="28"/>
                <w:szCs w:val="28"/>
              </w:rPr>
            </w:pPr>
            <w:r>
              <w:rPr>
                <w:rFonts w:ascii="方正黑体_GBK" w:hAnsi="方正黑体_GBK" w:eastAsia="方正黑体_GBK" w:cs="宋体"/>
                <w:sz w:val="20"/>
                <w:szCs w:val="24"/>
              </w:rPr>
              <w:t>96666</w:t>
            </w:r>
          </w:p>
        </w:tc>
      </w:tr>
      <w:tr w14:paraId="31482B13">
        <w:trPr>
          <w:trHeight w:val="300" w:hRule="atLeast"/>
        </w:trPr>
        <w:tc>
          <w:tcPr>
            <w:tcW w:w="2100" w:type="dxa"/>
            <w:tcMar>
              <w:left w:w="120" w:type="dxa"/>
            </w:tcMar>
            <w:vAlign w:val="center"/>
          </w:tcPr>
          <w:p w14:paraId="7BEEBBC2">
            <w:pPr>
              <w:spacing w:line="240" w:lineRule="auto"/>
              <w:rPr>
                <w:sz w:val="28"/>
                <w:szCs w:val="28"/>
              </w:rPr>
            </w:pPr>
            <w:r>
              <w:rPr>
                <w:rFonts w:ascii="方正黑体_GBK" w:hAnsi="方正黑体_GBK" w:eastAsia="方正黑体_GBK" w:cs="宋体"/>
                <w:sz w:val="20"/>
                <w:szCs w:val="24"/>
              </w:rPr>
              <w:t>浙江民泰商业银行股份有限公司</w:t>
            </w:r>
          </w:p>
        </w:tc>
        <w:tc>
          <w:tcPr>
            <w:tcW w:w="4050" w:type="dxa"/>
            <w:tcMar>
              <w:left w:w="120" w:type="dxa"/>
            </w:tcMar>
            <w:vAlign w:val="center"/>
          </w:tcPr>
          <w:p w14:paraId="52F32DF3">
            <w:pPr>
              <w:spacing w:line="240" w:lineRule="auto"/>
              <w:rPr>
                <w:sz w:val="28"/>
                <w:szCs w:val="28"/>
              </w:rPr>
            </w:pPr>
            <w:r>
              <w:rPr>
                <w:rFonts w:ascii="方正黑体_GBK" w:hAnsi="方正黑体_GBK" w:eastAsia="方正黑体_GBK" w:cs="宋体"/>
                <w:sz w:val="20"/>
                <w:szCs w:val="24"/>
              </w:rPr>
              <w:t>浙江省温岭市太平街道三星大道168号</w:t>
            </w:r>
          </w:p>
        </w:tc>
        <w:tc>
          <w:tcPr>
            <w:tcW w:w="1350" w:type="dxa"/>
            <w:tcMar>
              <w:left w:w="120" w:type="dxa"/>
            </w:tcMar>
            <w:vAlign w:val="center"/>
          </w:tcPr>
          <w:p w14:paraId="174E2BAD">
            <w:pPr>
              <w:spacing w:line="240" w:lineRule="auto"/>
              <w:rPr>
                <w:sz w:val="28"/>
                <w:szCs w:val="28"/>
              </w:rPr>
            </w:pPr>
            <w:r>
              <w:rPr>
                <w:rFonts w:ascii="方正黑体_GBK" w:hAnsi="方正黑体_GBK" w:eastAsia="方正黑体_GBK" w:cs="宋体"/>
                <w:sz w:val="20"/>
                <w:szCs w:val="24"/>
              </w:rPr>
              <w:t>95343</w:t>
            </w:r>
          </w:p>
        </w:tc>
      </w:tr>
      <w:tr w14:paraId="7D44C4AD">
        <w:trPr>
          <w:trHeight w:val="300" w:hRule="atLeast"/>
        </w:trPr>
        <w:tc>
          <w:tcPr>
            <w:tcW w:w="2100" w:type="dxa"/>
            <w:tcMar>
              <w:left w:w="120" w:type="dxa"/>
            </w:tcMar>
            <w:vAlign w:val="center"/>
          </w:tcPr>
          <w:p w14:paraId="582EDC63">
            <w:pPr>
              <w:spacing w:line="240" w:lineRule="auto"/>
              <w:rPr>
                <w:sz w:val="28"/>
                <w:szCs w:val="28"/>
              </w:rPr>
            </w:pPr>
            <w:r>
              <w:rPr>
                <w:rFonts w:ascii="方正黑体_GBK" w:hAnsi="方正黑体_GBK" w:eastAsia="方正黑体_GBK" w:cs="宋体"/>
                <w:sz w:val="20"/>
                <w:szCs w:val="24"/>
              </w:rPr>
              <w:t>江苏仪征农村商业银行股份有限公司</w:t>
            </w:r>
          </w:p>
        </w:tc>
        <w:tc>
          <w:tcPr>
            <w:tcW w:w="4050" w:type="dxa"/>
            <w:tcMar>
              <w:left w:w="120" w:type="dxa"/>
            </w:tcMar>
            <w:vAlign w:val="center"/>
          </w:tcPr>
          <w:p w14:paraId="5214D45A">
            <w:pPr>
              <w:spacing w:line="240" w:lineRule="auto"/>
              <w:rPr>
                <w:sz w:val="28"/>
                <w:szCs w:val="28"/>
              </w:rPr>
            </w:pPr>
            <w:r>
              <w:rPr>
                <w:rFonts w:ascii="方正黑体_GBK" w:hAnsi="方正黑体_GBK" w:eastAsia="方正黑体_GBK" w:cs="宋体"/>
                <w:sz w:val="20"/>
                <w:szCs w:val="24"/>
              </w:rPr>
              <w:t>江苏省仪征市真州镇解放东路818号金融集聚区1座801-811，901-911，1001-1011，2座101</w:t>
            </w:r>
          </w:p>
        </w:tc>
        <w:tc>
          <w:tcPr>
            <w:tcW w:w="1350" w:type="dxa"/>
            <w:tcMar>
              <w:left w:w="120" w:type="dxa"/>
            </w:tcMar>
            <w:vAlign w:val="center"/>
          </w:tcPr>
          <w:p w14:paraId="1852B56E">
            <w:pPr>
              <w:spacing w:line="240" w:lineRule="auto"/>
              <w:rPr>
                <w:sz w:val="28"/>
                <w:szCs w:val="28"/>
              </w:rPr>
            </w:pPr>
            <w:r>
              <w:rPr>
                <w:rFonts w:ascii="方正黑体_GBK" w:hAnsi="方正黑体_GBK" w:eastAsia="方正黑体_GBK" w:cs="宋体"/>
                <w:sz w:val="20"/>
                <w:szCs w:val="24"/>
              </w:rPr>
              <w:t>96008</w:t>
            </w:r>
          </w:p>
        </w:tc>
      </w:tr>
      <w:tr w14:paraId="5B880F29">
        <w:trPr>
          <w:trHeight w:val="300" w:hRule="atLeast"/>
        </w:trPr>
        <w:tc>
          <w:tcPr>
            <w:tcW w:w="2100" w:type="dxa"/>
            <w:tcMar>
              <w:left w:w="120" w:type="dxa"/>
            </w:tcMar>
            <w:vAlign w:val="center"/>
          </w:tcPr>
          <w:p w14:paraId="7FC713F0">
            <w:pPr>
              <w:spacing w:line="240" w:lineRule="auto"/>
              <w:rPr>
                <w:sz w:val="28"/>
                <w:szCs w:val="28"/>
              </w:rPr>
            </w:pPr>
            <w:r>
              <w:rPr>
                <w:rFonts w:ascii="方正黑体_GBK" w:hAnsi="方正黑体_GBK" w:eastAsia="方正黑体_GBK" w:cs="宋体"/>
                <w:sz w:val="20"/>
                <w:szCs w:val="24"/>
              </w:rPr>
              <w:t>金华银行股份有限公司</w:t>
            </w:r>
          </w:p>
        </w:tc>
        <w:tc>
          <w:tcPr>
            <w:tcW w:w="4050" w:type="dxa"/>
            <w:tcMar>
              <w:left w:w="120" w:type="dxa"/>
            </w:tcMar>
            <w:vAlign w:val="center"/>
          </w:tcPr>
          <w:p w14:paraId="27EC1E5C">
            <w:pPr>
              <w:spacing w:line="240" w:lineRule="auto"/>
              <w:rPr>
                <w:sz w:val="28"/>
                <w:szCs w:val="28"/>
              </w:rPr>
            </w:pPr>
            <w:r>
              <w:rPr>
                <w:rFonts w:ascii="方正黑体_GBK" w:hAnsi="方正黑体_GBK" w:eastAsia="方正黑体_GBK" w:cs="宋体"/>
                <w:sz w:val="20"/>
                <w:szCs w:val="24"/>
              </w:rPr>
              <w:t>浙江省金华市丹溪路1388号</w:t>
            </w:r>
          </w:p>
        </w:tc>
        <w:tc>
          <w:tcPr>
            <w:tcW w:w="1350" w:type="dxa"/>
            <w:tcMar>
              <w:left w:w="120" w:type="dxa"/>
            </w:tcMar>
            <w:vAlign w:val="center"/>
          </w:tcPr>
          <w:p w14:paraId="6BC03B6B">
            <w:pPr>
              <w:spacing w:line="240" w:lineRule="auto"/>
              <w:rPr>
                <w:sz w:val="28"/>
                <w:szCs w:val="28"/>
              </w:rPr>
            </w:pPr>
            <w:r>
              <w:rPr>
                <w:rFonts w:ascii="方正黑体_GBK" w:hAnsi="方正黑体_GBK" w:eastAsia="方正黑体_GBK" w:cs="宋体"/>
                <w:sz w:val="20"/>
                <w:szCs w:val="24"/>
              </w:rPr>
              <w:t>0579-96528</w:t>
            </w:r>
          </w:p>
        </w:tc>
      </w:tr>
      <w:tr w14:paraId="14EFC0E3">
        <w:trPr>
          <w:trHeight w:val="300" w:hRule="atLeast"/>
        </w:trPr>
        <w:tc>
          <w:tcPr>
            <w:tcW w:w="2100" w:type="dxa"/>
            <w:tcMar>
              <w:left w:w="120" w:type="dxa"/>
            </w:tcMar>
            <w:vAlign w:val="center"/>
          </w:tcPr>
          <w:p w14:paraId="4248A7FD">
            <w:pPr>
              <w:spacing w:line="240" w:lineRule="auto"/>
              <w:rPr>
                <w:sz w:val="28"/>
                <w:szCs w:val="28"/>
              </w:rPr>
            </w:pPr>
            <w:r>
              <w:rPr>
                <w:rFonts w:ascii="方正黑体_GBK" w:hAnsi="方正黑体_GBK" w:eastAsia="方正黑体_GBK" w:cs="宋体"/>
                <w:sz w:val="20"/>
                <w:szCs w:val="24"/>
              </w:rPr>
              <w:t>吉林银行股份有限公司</w:t>
            </w:r>
          </w:p>
        </w:tc>
        <w:tc>
          <w:tcPr>
            <w:tcW w:w="4050" w:type="dxa"/>
            <w:tcMar>
              <w:left w:w="120" w:type="dxa"/>
            </w:tcMar>
            <w:vAlign w:val="center"/>
          </w:tcPr>
          <w:p w14:paraId="0CAF8FA8">
            <w:pPr>
              <w:spacing w:line="240" w:lineRule="auto"/>
              <w:rPr>
                <w:sz w:val="28"/>
                <w:szCs w:val="28"/>
              </w:rPr>
            </w:pPr>
            <w:r>
              <w:rPr>
                <w:rFonts w:ascii="方正黑体_GBK" w:hAnsi="方正黑体_GBK" w:eastAsia="方正黑体_GBK" w:cs="宋体"/>
                <w:sz w:val="20"/>
                <w:szCs w:val="24"/>
              </w:rPr>
              <w:t>吉林省长春市南关区人民大街10666号</w:t>
            </w:r>
          </w:p>
        </w:tc>
        <w:tc>
          <w:tcPr>
            <w:tcW w:w="1350" w:type="dxa"/>
            <w:tcMar>
              <w:left w:w="120" w:type="dxa"/>
            </w:tcMar>
            <w:vAlign w:val="center"/>
          </w:tcPr>
          <w:p w14:paraId="47B95C7A">
            <w:pPr>
              <w:spacing w:line="240" w:lineRule="auto"/>
              <w:rPr>
                <w:sz w:val="28"/>
                <w:szCs w:val="28"/>
              </w:rPr>
            </w:pPr>
            <w:r>
              <w:rPr>
                <w:rFonts w:ascii="方正黑体_GBK" w:hAnsi="方正黑体_GBK" w:eastAsia="方正黑体_GBK" w:cs="宋体"/>
                <w:sz w:val="20"/>
                <w:szCs w:val="24"/>
              </w:rPr>
              <w:t>0431-84999543</w:t>
            </w:r>
          </w:p>
        </w:tc>
      </w:tr>
      <w:tr w14:paraId="3B4ADE95">
        <w:trPr>
          <w:trHeight w:val="300" w:hRule="atLeast"/>
        </w:trPr>
        <w:tc>
          <w:tcPr>
            <w:tcW w:w="2100" w:type="dxa"/>
            <w:tcMar>
              <w:left w:w="120" w:type="dxa"/>
            </w:tcMar>
            <w:vAlign w:val="center"/>
          </w:tcPr>
          <w:p w14:paraId="788B54BF">
            <w:pPr>
              <w:spacing w:line="240" w:lineRule="auto"/>
              <w:rPr>
                <w:sz w:val="28"/>
                <w:szCs w:val="28"/>
              </w:rPr>
            </w:pPr>
            <w:r>
              <w:rPr>
                <w:rFonts w:ascii="方正黑体_GBK" w:hAnsi="方正黑体_GBK" w:eastAsia="方正黑体_GBK" w:cs="宋体"/>
                <w:sz w:val="20"/>
                <w:szCs w:val="24"/>
              </w:rPr>
              <w:t>连云港东方农村商业银行股份有限公司</w:t>
            </w:r>
          </w:p>
        </w:tc>
        <w:tc>
          <w:tcPr>
            <w:tcW w:w="4050" w:type="dxa"/>
            <w:tcMar>
              <w:left w:w="120" w:type="dxa"/>
            </w:tcMar>
            <w:vAlign w:val="center"/>
          </w:tcPr>
          <w:p w14:paraId="6DF363DD">
            <w:pPr>
              <w:spacing w:line="240" w:lineRule="auto"/>
              <w:rPr>
                <w:sz w:val="28"/>
                <w:szCs w:val="28"/>
              </w:rPr>
            </w:pPr>
            <w:r>
              <w:rPr>
                <w:rFonts w:ascii="方正黑体_GBK" w:hAnsi="方正黑体_GBK" w:eastAsia="方正黑体_GBK" w:cs="宋体"/>
                <w:sz w:val="20"/>
                <w:szCs w:val="24"/>
              </w:rPr>
              <w:t>江苏省连云港市海州区郁洲南路10号</w:t>
            </w:r>
          </w:p>
        </w:tc>
        <w:tc>
          <w:tcPr>
            <w:tcW w:w="1350" w:type="dxa"/>
            <w:tcMar>
              <w:left w:w="120" w:type="dxa"/>
            </w:tcMar>
            <w:vAlign w:val="center"/>
          </w:tcPr>
          <w:p w14:paraId="702834E8">
            <w:pPr>
              <w:spacing w:line="240" w:lineRule="auto"/>
              <w:rPr>
                <w:sz w:val="28"/>
                <w:szCs w:val="28"/>
              </w:rPr>
            </w:pPr>
            <w:r>
              <w:rPr>
                <w:rFonts w:ascii="方正黑体_GBK" w:hAnsi="方正黑体_GBK" w:eastAsia="方正黑体_GBK" w:cs="宋体"/>
                <w:sz w:val="20"/>
                <w:szCs w:val="24"/>
              </w:rPr>
              <w:t>96008</w:t>
            </w:r>
          </w:p>
        </w:tc>
      </w:tr>
      <w:tr w14:paraId="41AB78C5">
        <w:trPr>
          <w:trHeight w:val="300" w:hRule="atLeast"/>
        </w:trPr>
        <w:tc>
          <w:tcPr>
            <w:tcW w:w="2100" w:type="dxa"/>
            <w:tcMar>
              <w:left w:w="120" w:type="dxa"/>
            </w:tcMar>
            <w:vAlign w:val="center"/>
          </w:tcPr>
          <w:p w14:paraId="727D6723">
            <w:pPr>
              <w:spacing w:line="240" w:lineRule="auto"/>
              <w:rPr>
                <w:sz w:val="28"/>
                <w:szCs w:val="28"/>
              </w:rPr>
            </w:pPr>
            <w:r>
              <w:rPr>
                <w:rFonts w:ascii="方正黑体_GBK" w:hAnsi="方正黑体_GBK" w:eastAsia="方正黑体_GBK" w:cs="宋体"/>
                <w:sz w:val="20"/>
                <w:szCs w:val="24"/>
              </w:rPr>
              <w:t>德州银行股份有限公司</w:t>
            </w:r>
          </w:p>
        </w:tc>
        <w:tc>
          <w:tcPr>
            <w:tcW w:w="4050" w:type="dxa"/>
            <w:tcMar>
              <w:left w:w="120" w:type="dxa"/>
            </w:tcMar>
            <w:vAlign w:val="center"/>
          </w:tcPr>
          <w:p w14:paraId="659DCF2C">
            <w:pPr>
              <w:spacing w:line="240" w:lineRule="auto"/>
              <w:rPr>
                <w:sz w:val="28"/>
                <w:szCs w:val="28"/>
              </w:rPr>
            </w:pPr>
            <w:r>
              <w:rPr>
                <w:rFonts w:ascii="方正黑体_GBK" w:hAnsi="方正黑体_GBK" w:eastAsia="方正黑体_GBK" w:cs="宋体"/>
                <w:sz w:val="20"/>
                <w:szCs w:val="24"/>
              </w:rPr>
              <w:t>山东省德州市三八东路1266号</w:t>
            </w:r>
          </w:p>
        </w:tc>
        <w:tc>
          <w:tcPr>
            <w:tcW w:w="1350" w:type="dxa"/>
            <w:tcMar>
              <w:left w:w="120" w:type="dxa"/>
            </w:tcMar>
            <w:vAlign w:val="center"/>
          </w:tcPr>
          <w:p w14:paraId="427051D4">
            <w:pPr>
              <w:spacing w:line="240" w:lineRule="auto"/>
              <w:rPr>
                <w:sz w:val="28"/>
                <w:szCs w:val="28"/>
              </w:rPr>
            </w:pPr>
            <w:r>
              <w:rPr>
                <w:rFonts w:ascii="方正黑体_GBK" w:hAnsi="方正黑体_GBK" w:eastAsia="方正黑体_GBK" w:cs="宋体"/>
                <w:sz w:val="20"/>
                <w:szCs w:val="24"/>
              </w:rPr>
              <w:t>0534-2291695</w:t>
            </w:r>
          </w:p>
        </w:tc>
      </w:tr>
      <w:tr w14:paraId="291083E1">
        <w:trPr>
          <w:trHeight w:val="300" w:hRule="atLeast"/>
        </w:trPr>
        <w:tc>
          <w:tcPr>
            <w:tcW w:w="2100" w:type="dxa"/>
            <w:tcMar>
              <w:left w:w="120" w:type="dxa"/>
            </w:tcMar>
            <w:vAlign w:val="center"/>
          </w:tcPr>
          <w:p w14:paraId="0320063F">
            <w:pPr>
              <w:spacing w:line="240" w:lineRule="auto"/>
              <w:rPr>
                <w:sz w:val="28"/>
                <w:szCs w:val="28"/>
              </w:rPr>
            </w:pPr>
            <w:r>
              <w:rPr>
                <w:rFonts w:ascii="方正黑体_GBK" w:hAnsi="方正黑体_GBK" w:eastAsia="方正黑体_GBK" w:cs="宋体"/>
                <w:sz w:val="20"/>
                <w:szCs w:val="24"/>
              </w:rPr>
              <w:t>北京农村商业银行股份有限公司</w:t>
            </w:r>
          </w:p>
        </w:tc>
        <w:tc>
          <w:tcPr>
            <w:tcW w:w="4050" w:type="dxa"/>
            <w:tcMar>
              <w:left w:w="120" w:type="dxa"/>
            </w:tcMar>
            <w:vAlign w:val="center"/>
          </w:tcPr>
          <w:p w14:paraId="43C4E7D0">
            <w:pPr>
              <w:spacing w:line="240" w:lineRule="auto"/>
              <w:rPr>
                <w:sz w:val="28"/>
                <w:szCs w:val="28"/>
              </w:rPr>
            </w:pPr>
            <w:r>
              <w:rPr>
                <w:rFonts w:ascii="方正黑体_GBK" w:hAnsi="方正黑体_GBK" w:eastAsia="方正黑体_GBK" w:cs="宋体"/>
                <w:sz w:val="20"/>
                <w:szCs w:val="24"/>
              </w:rPr>
              <w:t>北京市西城区月坛南街1号院2号楼</w:t>
            </w:r>
          </w:p>
        </w:tc>
        <w:tc>
          <w:tcPr>
            <w:tcW w:w="1350" w:type="dxa"/>
            <w:tcMar>
              <w:left w:w="120" w:type="dxa"/>
            </w:tcMar>
            <w:vAlign w:val="center"/>
          </w:tcPr>
          <w:p w14:paraId="62AF027B">
            <w:pPr>
              <w:spacing w:line="240" w:lineRule="auto"/>
              <w:rPr>
                <w:sz w:val="28"/>
                <w:szCs w:val="28"/>
              </w:rPr>
            </w:pPr>
            <w:r>
              <w:rPr>
                <w:rFonts w:ascii="方正黑体_GBK" w:hAnsi="方正黑体_GBK" w:eastAsia="方正黑体_GBK" w:cs="宋体"/>
                <w:sz w:val="20"/>
                <w:szCs w:val="24"/>
              </w:rPr>
              <w:t>010-96198、4008896198</w:t>
            </w:r>
          </w:p>
        </w:tc>
      </w:tr>
      <w:tr w14:paraId="7CF96D98">
        <w:trPr>
          <w:trHeight w:val="300" w:hRule="atLeast"/>
        </w:trPr>
        <w:tc>
          <w:tcPr>
            <w:tcW w:w="2100" w:type="dxa"/>
            <w:tcMar>
              <w:left w:w="120" w:type="dxa"/>
            </w:tcMar>
            <w:vAlign w:val="center"/>
          </w:tcPr>
          <w:p w14:paraId="23364761">
            <w:pPr>
              <w:spacing w:line="240" w:lineRule="auto"/>
              <w:rPr>
                <w:sz w:val="28"/>
                <w:szCs w:val="28"/>
              </w:rPr>
            </w:pPr>
            <w:r>
              <w:rPr>
                <w:rFonts w:ascii="方正黑体_GBK" w:hAnsi="方正黑体_GBK" w:eastAsia="方正黑体_GBK" w:cs="宋体"/>
                <w:sz w:val="20"/>
                <w:szCs w:val="24"/>
              </w:rPr>
              <w:t>上海农村商业银行股份有限公司</w:t>
            </w:r>
          </w:p>
        </w:tc>
        <w:tc>
          <w:tcPr>
            <w:tcW w:w="4050" w:type="dxa"/>
            <w:tcMar>
              <w:left w:w="120" w:type="dxa"/>
            </w:tcMar>
            <w:vAlign w:val="center"/>
          </w:tcPr>
          <w:p w14:paraId="624DA228">
            <w:pPr>
              <w:spacing w:line="240" w:lineRule="auto"/>
              <w:rPr>
                <w:sz w:val="28"/>
                <w:szCs w:val="28"/>
              </w:rPr>
            </w:pPr>
            <w:r>
              <w:rPr>
                <w:rFonts w:ascii="方正黑体_GBK" w:hAnsi="方正黑体_GBK" w:eastAsia="方正黑体_GBK" w:cs="宋体"/>
                <w:sz w:val="20"/>
                <w:szCs w:val="24"/>
              </w:rPr>
              <w:t>上海市黄浦区中山东二路70号</w:t>
            </w:r>
          </w:p>
        </w:tc>
        <w:tc>
          <w:tcPr>
            <w:tcW w:w="1350" w:type="dxa"/>
            <w:tcMar>
              <w:left w:w="120" w:type="dxa"/>
            </w:tcMar>
            <w:vAlign w:val="center"/>
          </w:tcPr>
          <w:p w14:paraId="65A3883B">
            <w:pPr>
              <w:spacing w:line="240" w:lineRule="auto"/>
              <w:rPr>
                <w:sz w:val="28"/>
                <w:szCs w:val="28"/>
              </w:rPr>
            </w:pPr>
            <w:r>
              <w:rPr>
                <w:rFonts w:ascii="方正黑体_GBK" w:hAnsi="方正黑体_GBK" w:eastAsia="方正黑体_GBK" w:cs="宋体"/>
                <w:sz w:val="20"/>
                <w:szCs w:val="24"/>
              </w:rPr>
              <w:t>021-962999</w:t>
            </w:r>
          </w:p>
        </w:tc>
      </w:tr>
      <w:tr w14:paraId="083DC5AE">
        <w:trPr>
          <w:trHeight w:val="300" w:hRule="atLeast"/>
        </w:trPr>
        <w:tc>
          <w:tcPr>
            <w:tcW w:w="2100" w:type="dxa"/>
            <w:tcMar>
              <w:left w:w="120" w:type="dxa"/>
            </w:tcMar>
            <w:vAlign w:val="center"/>
          </w:tcPr>
          <w:p w14:paraId="18503645">
            <w:pPr>
              <w:spacing w:line="240" w:lineRule="auto"/>
              <w:rPr>
                <w:sz w:val="28"/>
                <w:szCs w:val="28"/>
              </w:rPr>
            </w:pPr>
            <w:r>
              <w:rPr>
                <w:rFonts w:ascii="方正黑体_GBK" w:hAnsi="方正黑体_GBK" w:eastAsia="方正黑体_GBK" w:cs="宋体"/>
                <w:sz w:val="20"/>
                <w:szCs w:val="24"/>
              </w:rPr>
              <w:t>长安银行股份有限公司</w:t>
            </w:r>
          </w:p>
        </w:tc>
        <w:tc>
          <w:tcPr>
            <w:tcW w:w="4050" w:type="dxa"/>
            <w:tcMar>
              <w:left w:w="120" w:type="dxa"/>
            </w:tcMar>
            <w:vAlign w:val="center"/>
          </w:tcPr>
          <w:p w14:paraId="292C784B">
            <w:pPr>
              <w:spacing w:line="240" w:lineRule="auto"/>
              <w:rPr>
                <w:sz w:val="28"/>
                <w:szCs w:val="28"/>
              </w:rPr>
            </w:pPr>
            <w:r>
              <w:rPr>
                <w:rFonts w:ascii="方正黑体_GBK" w:hAnsi="方正黑体_GBK" w:eastAsia="方正黑体_GBK" w:cs="宋体"/>
                <w:sz w:val="20"/>
                <w:szCs w:val="24"/>
              </w:rPr>
              <w:t>西安市高新区高新四路13号1幢1单元10101室</w:t>
            </w:r>
          </w:p>
        </w:tc>
        <w:tc>
          <w:tcPr>
            <w:tcW w:w="1350" w:type="dxa"/>
            <w:tcMar>
              <w:left w:w="120" w:type="dxa"/>
            </w:tcMar>
            <w:vAlign w:val="center"/>
          </w:tcPr>
          <w:p w14:paraId="366D353C">
            <w:pPr>
              <w:spacing w:line="240" w:lineRule="auto"/>
              <w:rPr>
                <w:sz w:val="28"/>
                <w:szCs w:val="28"/>
              </w:rPr>
            </w:pPr>
            <w:r>
              <w:rPr>
                <w:rFonts w:ascii="方正黑体_GBK" w:hAnsi="方正黑体_GBK" w:eastAsia="方正黑体_GBK" w:cs="宋体"/>
                <w:sz w:val="20"/>
                <w:szCs w:val="24"/>
              </w:rPr>
              <w:t>029-96669</w:t>
            </w:r>
          </w:p>
        </w:tc>
      </w:tr>
      <w:tr w14:paraId="1AC768AE">
        <w:trPr>
          <w:trHeight w:val="300" w:hRule="atLeast"/>
        </w:trPr>
        <w:tc>
          <w:tcPr>
            <w:tcW w:w="2100" w:type="dxa"/>
            <w:tcMar>
              <w:left w:w="120" w:type="dxa"/>
            </w:tcMar>
            <w:vAlign w:val="center"/>
          </w:tcPr>
          <w:p w14:paraId="0763AFE6">
            <w:pPr>
              <w:spacing w:line="240" w:lineRule="auto"/>
              <w:rPr>
                <w:sz w:val="28"/>
                <w:szCs w:val="28"/>
              </w:rPr>
            </w:pPr>
            <w:r>
              <w:rPr>
                <w:rFonts w:ascii="方正黑体_GBK" w:hAnsi="方正黑体_GBK" w:eastAsia="方正黑体_GBK" w:cs="宋体"/>
                <w:sz w:val="20"/>
                <w:szCs w:val="24"/>
              </w:rPr>
              <w:t>江苏沭阳农村商业银行股份有限公司</w:t>
            </w:r>
          </w:p>
        </w:tc>
        <w:tc>
          <w:tcPr>
            <w:tcW w:w="4050" w:type="dxa"/>
            <w:tcMar>
              <w:left w:w="120" w:type="dxa"/>
            </w:tcMar>
            <w:vAlign w:val="center"/>
          </w:tcPr>
          <w:p w14:paraId="12C63446">
            <w:pPr>
              <w:spacing w:line="240" w:lineRule="auto"/>
              <w:rPr>
                <w:sz w:val="28"/>
                <w:szCs w:val="28"/>
              </w:rPr>
            </w:pPr>
            <w:r>
              <w:rPr>
                <w:rFonts w:ascii="方正黑体_GBK" w:hAnsi="方正黑体_GBK" w:eastAsia="方正黑体_GBK" w:cs="宋体"/>
                <w:sz w:val="20"/>
                <w:szCs w:val="24"/>
              </w:rPr>
              <w:t>沭阳县沭城镇苏州东路与台州南路交汇处</w:t>
            </w:r>
          </w:p>
        </w:tc>
        <w:tc>
          <w:tcPr>
            <w:tcW w:w="1350" w:type="dxa"/>
            <w:tcMar>
              <w:left w:w="120" w:type="dxa"/>
            </w:tcMar>
            <w:vAlign w:val="center"/>
          </w:tcPr>
          <w:p w14:paraId="2F8A181E">
            <w:pPr>
              <w:spacing w:line="240" w:lineRule="auto"/>
              <w:rPr>
                <w:sz w:val="28"/>
                <w:szCs w:val="28"/>
              </w:rPr>
            </w:pPr>
            <w:r>
              <w:rPr>
                <w:rFonts w:ascii="方正黑体_GBK" w:hAnsi="方正黑体_GBK" w:eastAsia="方正黑体_GBK" w:cs="宋体"/>
                <w:sz w:val="20"/>
                <w:szCs w:val="24"/>
              </w:rPr>
              <w:t>96008</w:t>
            </w:r>
          </w:p>
        </w:tc>
      </w:tr>
      <w:tr w14:paraId="1750A3F2">
        <w:trPr>
          <w:trHeight w:val="300" w:hRule="atLeast"/>
        </w:trPr>
        <w:tc>
          <w:tcPr>
            <w:tcW w:w="2100" w:type="dxa"/>
            <w:tcMar>
              <w:left w:w="120" w:type="dxa"/>
            </w:tcMar>
            <w:vAlign w:val="center"/>
          </w:tcPr>
          <w:p w14:paraId="41997618">
            <w:pPr>
              <w:spacing w:line="240" w:lineRule="auto"/>
              <w:rPr>
                <w:sz w:val="28"/>
                <w:szCs w:val="28"/>
              </w:rPr>
            </w:pPr>
            <w:r>
              <w:rPr>
                <w:rFonts w:ascii="方正黑体_GBK" w:hAnsi="方正黑体_GBK" w:eastAsia="方正黑体_GBK" w:cs="宋体"/>
                <w:sz w:val="20"/>
                <w:szCs w:val="24"/>
              </w:rPr>
              <w:t>海南农村商业银行股份有限公司</w:t>
            </w:r>
          </w:p>
        </w:tc>
        <w:tc>
          <w:tcPr>
            <w:tcW w:w="4050" w:type="dxa"/>
            <w:tcMar>
              <w:left w:w="120" w:type="dxa"/>
            </w:tcMar>
            <w:vAlign w:val="center"/>
          </w:tcPr>
          <w:p w14:paraId="7D2A95A5">
            <w:pPr>
              <w:spacing w:line="240" w:lineRule="auto"/>
              <w:rPr>
                <w:sz w:val="28"/>
                <w:szCs w:val="28"/>
              </w:rPr>
            </w:pPr>
            <w:r>
              <w:rPr>
                <w:rFonts w:ascii="方正黑体_GBK" w:hAnsi="方正黑体_GBK" w:eastAsia="方正黑体_GBK" w:cs="宋体"/>
                <w:sz w:val="20"/>
                <w:szCs w:val="24"/>
              </w:rPr>
              <w:t>海南省海口市美兰区国兴大道5号海南大厦</w:t>
            </w:r>
          </w:p>
        </w:tc>
        <w:tc>
          <w:tcPr>
            <w:tcW w:w="1350" w:type="dxa"/>
            <w:tcMar>
              <w:left w:w="120" w:type="dxa"/>
            </w:tcMar>
            <w:vAlign w:val="center"/>
          </w:tcPr>
          <w:p w14:paraId="0790301A">
            <w:pPr>
              <w:spacing w:line="240" w:lineRule="auto"/>
              <w:rPr>
                <w:sz w:val="28"/>
                <w:szCs w:val="28"/>
              </w:rPr>
            </w:pPr>
            <w:r>
              <w:rPr>
                <w:rFonts w:ascii="方正黑体_GBK" w:hAnsi="方正黑体_GBK" w:eastAsia="方正黑体_GBK" w:cs="宋体"/>
                <w:sz w:val="20"/>
                <w:szCs w:val="24"/>
              </w:rPr>
              <w:t>65200533</w:t>
            </w:r>
          </w:p>
        </w:tc>
      </w:tr>
      <w:tr w14:paraId="3ECBD442">
        <w:trPr>
          <w:trHeight w:val="300" w:hRule="atLeast"/>
        </w:trPr>
        <w:tc>
          <w:tcPr>
            <w:tcW w:w="2100" w:type="dxa"/>
            <w:tcMar>
              <w:left w:w="120" w:type="dxa"/>
            </w:tcMar>
            <w:vAlign w:val="center"/>
          </w:tcPr>
          <w:p w14:paraId="51580BDB">
            <w:pPr>
              <w:spacing w:line="240" w:lineRule="auto"/>
              <w:rPr>
                <w:sz w:val="28"/>
                <w:szCs w:val="28"/>
              </w:rPr>
            </w:pPr>
            <w:r>
              <w:rPr>
                <w:rFonts w:ascii="方正黑体_GBK" w:hAnsi="方正黑体_GBK" w:eastAsia="方正黑体_GBK" w:cs="宋体"/>
                <w:sz w:val="20"/>
                <w:szCs w:val="24"/>
              </w:rPr>
              <w:t>湖州银行股份有限公司</w:t>
            </w:r>
          </w:p>
        </w:tc>
        <w:tc>
          <w:tcPr>
            <w:tcW w:w="4050" w:type="dxa"/>
            <w:tcMar>
              <w:left w:w="120" w:type="dxa"/>
            </w:tcMar>
            <w:vAlign w:val="center"/>
          </w:tcPr>
          <w:p w14:paraId="50857C45">
            <w:pPr>
              <w:spacing w:line="240" w:lineRule="auto"/>
              <w:rPr>
                <w:sz w:val="28"/>
                <w:szCs w:val="28"/>
              </w:rPr>
            </w:pPr>
            <w:r>
              <w:rPr>
                <w:rFonts w:ascii="方正黑体_GBK" w:hAnsi="方正黑体_GBK" w:eastAsia="方正黑体_GBK" w:cs="宋体"/>
                <w:sz w:val="20"/>
                <w:szCs w:val="24"/>
              </w:rPr>
              <w:t>浙江省湖州市红旗路268号</w:t>
            </w:r>
          </w:p>
        </w:tc>
        <w:tc>
          <w:tcPr>
            <w:tcW w:w="1350" w:type="dxa"/>
            <w:tcMar>
              <w:left w:w="120" w:type="dxa"/>
            </w:tcMar>
            <w:vAlign w:val="center"/>
          </w:tcPr>
          <w:p w14:paraId="30E692BB">
            <w:pPr>
              <w:spacing w:line="240" w:lineRule="auto"/>
              <w:rPr>
                <w:sz w:val="28"/>
                <w:szCs w:val="28"/>
              </w:rPr>
            </w:pPr>
            <w:r>
              <w:rPr>
                <w:rFonts w:ascii="方正黑体_GBK" w:hAnsi="方正黑体_GBK" w:eastAsia="方正黑体_GBK" w:cs="宋体"/>
                <w:sz w:val="20"/>
                <w:szCs w:val="24"/>
              </w:rPr>
              <w:t>40080-96528</w:t>
            </w:r>
          </w:p>
        </w:tc>
      </w:tr>
      <w:tr w14:paraId="430E910F">
        <w:trPr>
          <w:trHeight w:val="300" w:hRule="atLeast"/>
        </w:trPr>
        <w:tc>
          <w:tcPr>
            <w:tcW w:w="2100" w:type="dxa"/>
            <w:tcMar>
              <w:left w:w="120" w:type="dxa"/>
            </w:tcMar>
            <w:vAlign w:val="center"/>
          </w:tcPr>
          <w:p w14:paraId="0F419657">
            <w:pPr>
              <w:spacing w:line="240" w:lineRule="auto"/>
              <w:rPr>
                <w:sz w:val="28"/>
                <w:szCs w:val="28"/>
              </w:rPr>
            </w:pPr>
            <w:r>
              <w:rPr>
                <w:rFonts w:ascii="方正黑体_GBK" w:hAnsi="方正黑体_GBK" w:eastAsia="方正黑体_GBK" w:cs="宋体"/>
                <w:sz w:val="20"/>
                <w:szCs w:val="24"/>
              </w:rPr>
              <w:t>江苏灌云农村商业银行股份有限公司</w:t>
            </w:r>
          </w:p>
        </w:tc>
        <w:tc>
          <w:tcPr>
            <w:tcW w:w="4050" w:type="dxa"/>
            <w:tcMar>
              <w:left w:w="120" w:type="dxa"/>
            </w:tcMar>
            <w:vAlign w:val="center"/>
          </w:tcPr>
          <w:p w14:paraId="68F947FE">
            <w:pPr>
              <w:spacing w:line="240" w:lineRule="auto"/>
              <w:rPr>
                <w:sz w:val="28"/>
                <w:szCs w:val="28"/>
              </w:rPr>
            </w:pPr>
            <w:r>
              <w:rPr>
                <w:rFonts w:ascii="方正黑体_GBK" w:hAnsi="方正黑体_GBK" w:eastAsia="方正黑体_GBK" w:cs="宋体"/>
                <w:sz w:val="20"/>
                <w:szCs w:val="24"/>
              </w:rPr>
              <w:t>江苏省灌云县伊山镇水利路东侧（人民路与水利路交汇处）</w:t>
            </w:r>
          </w:p>
        </w:tc>
        <w:tc>
          <w:tcPr>
            <w:tcW w:w="1350" w:type="dxa"/>
            <w:tcMar>
              <w:left w:w="120" w:type="dxa"/>
            </w:tcMar>
            <w:vAlign w:val="center"/>
          </w:tcPr>
          <w:p w14:paraId="3B3FACCC">
            <w:pPr>
              <w:spacing w:line="240" w:lineRule="auto"/>
              <w:rPr>
                <w:sz w:val="28"/>
                <w:szCs w:val="28"/>
              </w:rPr>
            </w:pPr>
            <w:r>
              <w:rPr>
                <w:rFonts w:ascii="方正黑体_GBK" w:hAnsi="方正黑体_GBK" w:eastAsia="方正黑体_GBK" w:cs="宋体"/>
                <w:sz w:val="20"/>
                <w:szCs w:val="24"/>
              </w:rPr>
              <w:t>96008</w:t>
            </w:r>
          </w:p>
        </w:tc>
      </w:tr>
      <w:tr w14:paraId="5C2A2FCF">
        <w:trPr>
          <w:trHeight w:val="300" w:hRule="atLeast"/>
        </w:trPr>
        <w:tc>
          <w:tcPr>
            <w:tcW w:w="2100" w:type="dxa"/>
            <w:tcMar>
              <w:left w:w="120" w:type="dxa"/>
            </w:tcMar>
            <w:vAlign w:val="center"/>
          </w:tcPr>
          <w:p w14:paraId="268A3E15">
            <w:pPr>
              <w:spacing w:line="240" w:lineRule="auto"/>
              <w:rPr>
                <w:sz w:val="28"/>
                <w:szCs w:val="28"/>
              </w:rPr>
            </w:pPr>
            <w:r>
              <w:rPr>
                <w:rFonts w:ascii="方正黑体_GBK" w:hAnsi="方正黑体_GBK" w:eastAsia="方正黑体_GBK" w:cs="宋体"/>
                <w:sz w:val="20"/>
                <w:szCs w:val="24"/>
              </w:rPr>
              <w:t>江苏海安农村商业银行股份有限公司</w:t>
            </w:r>
          </w:p>
        </w:tc>
        <w:tc>
          <w:tcPr>
            <w:tcW w:w="4050" w:type="dxa"/>
            <w:tcMar>
              <w:left w:w="120" w:type="dxa"/>
            </w:tcMar>
            <w:vAlign w:val="center"/>
          </w:tcPr>
          <w:p w14:paraId="483D5145">
            <w:pPr>
              <w:spacing w:line="240" w:lineRule="auto"/>
              <w:rPr>
                <w:sz w:val="28"/>
                <w:szCs w:val="28"/>
              </w:rPr>
            </w:pPr>
            <w:r>
              <w:rPr>
                <w:rFonts w:ascii="方正黑体_GBK" w:hAnsi="方正黑体_GBK" w:eastAsia="方正黑体_GBK" w:cs="宋体"/>
                <w:sz w:val="20"/>
                <w:szCs w:val="24"/>
              </w:rPr>
              <w:t>江苏省海安市长江中路88号(东楼 )</w:t>
            </w:r>
          </w:p>
        </w:tc>
        <w:tc>
          <w:tcPr>
            <w:tcW w:w="1350" w:type="dxa"/>
            <w:tcMar>
              <w:left w:w="120" w:type="dxa"/>
            </w:tcMar>
            <w:vAlign w:val="center"/>
          </w:tcPr>
          <w:p w14:paraId="273F3AAB">
            <w:pPr>
              <w:spacing w:line="240" w:lineRule="auto"/>
              <w:rPr>
                <w:sz w:val="28"/>
                <w:szCs w:val="28"/>
              </w:rPr>
            </w:pPr>
            <w:r>
              <w:rPr>
                <w:rFonts w:ascii="方正黑体_GBK" w:hAnsi="方正黑体_GBK" w:eastAsia="方正黑体_GBK" w:cs="宋体"/>
                <w:sz w:val="20"/>
                <w:szCs w:val="24"/>
              </w:rPr>
              <w:t>96008</w:t>
            </w:r>
          </w:p>
        </w:tc>
      </w:tr>
      <w:tr w14:paraId="051B90A9">
        <w:trPr>
          <w:trHeight w:val="300" w:hRule="atLeast"/>
        </w:trPr>
        <w:tc>
          <w:tcPr>
            <w:tcW w:w="2100" w:type="dxa"/>
            <w:tcMar>
              <w:left w:w="120" w:type="dxa"/>
            </w:tcMar>
            <w:vAlign w:val="center"/>
          </w:tcPr>
          <w:p w14:paraId="235AF33D">
            <w:pPr>
              <w:spacing w:line="240" w:lineRule="auto"/>
              <w:rPr>
                <w:sz w:val="28"/>
                <w:szCs w:val="28"/>
              </w:rPr>
            </w:pPr>
            <w:r>
              <w:rPr>
                <w:rFonts w:ascii="方正黑体_GBK" w:hAnsi="方正黑体_GBK" w:eastAsia="方正黑体_GBK" w:cs="宋体"/>
                <w:sz w:val="20"/>
                <w:szCs w:val="24"/>
              </w:rPr>
              <w:t>江苏昆山农村商业银行股份有限公司</w:t>
            </w:r>
          </w:p>
        </w:tc>
        <w:tc>
          <w:tcPr>
            <w:tcW w:w="4050" w:type="dxa"/>
            <w:tcMar>
              <w:left w:w="120" w:type="dxa"/>
            </w:tcMar>
            <w:vAlign w:val="center"/>
          </w:tcPr>
          <w:p w14:paraId="182F4782">
            <w:pPr>
              <w:spacing w:line="240" w:lineRule="auto"/>
              <w:rPr>
                <w:sz w:val="28"/>
                <w:szCs w:val="28"/>
              </w:rPr>
            </w:pPr>
            <w:r>
              <w:rPr>
                <w:rFonts w:ascii="方正黑体_GBK" w:hAnsi="方正黑体_GBK" w:eastAsia="方正黑体_GBK" w:cs="宋体"/>
                <w:sz w:val="20"/>
                <w:szCs w:val="24"/>
              </w:rPr>
              <w:t>江苏省昆山市前进东路828号</w:t>
            </w:r>
          </w:p>
        </w:tc>
        <w:tc>
          <w:tcPr>
            <w:tcW w:w="1350" w:type="dxa"/>
            <w:tcMar>
              <w:left w:w="120" w:type="dxa"/>
            </w:tcMar>
            <w:vAlign w:val="center"/>
          </w:tcPr>
          <w:p w14:paraId="23596B92">
            <w:pPr>
              <w:spacing w:line="240" w:lineRule="auto"/>
              <w:rPr>
                <w:sz w:val="28"/>
                <w:szCs w:val="28"/>
              </w:rPr>
            </w:pPr>
            <w:r>
              <w:rPr>
                <w:rFonts w:ascii="方正黑体_GBK" w:hAnsi="方正黑体_GBK" w:eastAsia="方正黑体_GBK" w:cs="宋体"/>
                <w:sz w:val="20"/>
                <w:szCs w:val="24"/>
              </w:rPr>
              <w:t>0512-96079</w:t>
            </w:r>
          </w:p>
        </w:tc>
      </w:tr>
      <w:tr w14:paraId="0EAAA1F0">
        <w:trPr>
          <w:trHeight w:val="300" w:hRule="atLeast"/>
        </w:trPr>
        <w:tc>
          <w:tcPr>
            <w:tcW w:w="2100" w:type="dxa"/>
            <w:tcMar>
              <w:left w:w="120" w:type="dxa"/>
            </w:tcMar>
            <w:vAlign w:val="center"/>
          </w:tcPr>
          <w:p w14:paraId="31D96DA1">
            <w:pPr>
              <w:spacing w:line="240" w:lineRule="auto"/>
              <w:rPr>
                <w:sz w:val="28"/>
                <w:szCs w:val="28"/>
              </w:rPr>
            </w:pPr>
            <w:r>
              <w:rPr>
                <w:rFonts w:ascii="方正黑体_GBK" w:hAnsi="方正黑体_GBK" w:eastAsia="方正黑体_GBK" w:cs="宋体"/>
                <w:sz w:val="20"/>
                <w:szCs w:val="24"/>
              </w:rPr>
              <w:t>广州农村商业银行股份有限公司</w:t>
            </w:r>
          </w:p>
        </w:tc>
        <w:tc>
          <w:tcPr>
            <w:tcW w:w="4050" w:type="dxa"/>
            <w:tcMar>
              <w:left w:w="120" w:type="dxa"/>
            </w:tcMar>
            <w:vAlign w:val="center"/>
          </w:tcPr>
          <w:p w14:paraId="2C590267">
            <w:pPr>
              <w:spacing w:line="240" w:lineRule="auto"/>
              <w:rPr>
                <w:sz w:val="28"/>
                <w:szCs w:val="28"/>
              </w:rPr>
            </w:pPr>
            <w:r>
              <w:rPr>
                <w:rFonts w:ascii="方正黑体_GBK" w:hAnsi="方正黑体_GBK" w:eastAsia="方正黑体_GBK" w:cs="宋体"/>
                <w:sz w:val="20"/>
                <w:szCs w:val="24"/>
              </w:rPr>
              <w:t>广州市黄埔区映日路9号</w:t>
            </w:r>
          </w:p>
        </w:tc>
        <w:tc>
          <w:tcPr>
            <w:tcW w:w="1350" w:type="dxa"/>
            <w:tcMar>
              <w:left w:w="120" w:type="dxa"/>
            </w:tcMar>
            <w:vAlign w:val="center"/>
          </w:tcPr>
          <w:p w14:paraId="450B1FE2">
            <w:pPr>
              <w:spacing w:line="240" w:lineRule="auto"/>
              <w:rPr>
                <w:sz w:val="28"/>
                <w:szCs w:val="28"/>
              </w:rPr>
            </w:pPr>
            <w:r>
              <w:rPr>
                <w:rFonts w:ascii="方正黑体_GBK" w:hAnsi="方正黑体_GBK" w:eastAsia="方正黑体_GBK" w:cs="宋体"/>
                <w:sz w:val="20"/>
                <w:szCs w:val="24"/>
              </w:rPr>
              <w:t>95313</w:t>
            </w:r>
          </w:p>
        </w:tc>
      </w:tr>
      <w:tr w14:paraId="53864203">
        <w:trPr>
          <w:trHeight w:val="300" w:hRule="atLeast"/>
        </w:trPr>
        <w:tc>
          <w:tcPr>
            <w:tcW w:w="2100" w:type="dxa"/>
            <w:tcMar>
              <w:left w:w="120" w:type="dxa"/>
            </w:tcMar>
            <w:vAlign w:val="center"/>
          </w:tcPr>
          <w:p w14:paraId="0AA2DF6E">
            <w:pPr>
              <w:spacing w:line="240" w:lineRule="auto"/>
              <w:rPr>
                <w:sz w:val="28"/>
                <w:szCs w:val="28"/>
              </w:rPr>
            </w:pPr>
            <w:r>
              <w:rPr>
                <w:rFonts w:ascii="方正黑体_GBK" w:hAnsi="方正黑体_GBK" w:eastAsia="方正黑体_GBK" w:cs="宋体"/>
                <w:sz w:val="20"/>
                <w:szCs w:val="24"/>
              </w:rPr>
              <w:t>江苏泰州农村商业银行股份有限公司</w:t>
            </w:r>
          </w:p>
        </w:tc>
        <w:tc>
          <w:tcPr>
            <w:tcW w:w="4050" w:type="dxa"/>
            <w:tcMar>
              <w:left w:w="120" w:type="dxa"/>
            </w:tcMar>
            <w:vAlign w:val="center"/>
          </w:tcPr>
          <w:p w14:paraId="25FE0FA7">
            <w:pPr>
              <w:spacing w:line="240" w:lineRule="auto"/>
              <w:rPr>
                <w:sz w:val="28"/>
                <w:szCs w:val="28"/>
              </w:rPr>
            </w:pPr>
            <w:r>
              <w:rPr>
                <w:rFonts w:ascii="方正黑体_GBK" w:hAnsi="方正黑体_GBK" w:eastAsia="方正黑体_GBK" w:cs="宋体"/>
                <w:sz w:val="20"/>
                <w:szCs w:val="24"/>
              </w:rPr>
              <w:t>泰州市海陵区西仓路36号</w:t>
            </w:r>
          </w:p>
        </w:tc>
        <w:tc>
          <w:tcPr>
            <w:tcW w:w="1350" w:type="dxa"/>
            <w:tcMar>
              <w:left w:w="120" w:type="dxa"/>
            </w:tcMar>
            <w:vAlign w:val="center"/>
          </w:tcPr>
          <w:p w14:paraId="51D3BB29">
            <w:pPr>
              <w:spacing w:line="240" w:lineRule="auto"/>
              <w:rPr>
                <w:sz w:val="28"/>
                <w:szCs w:val="28"/>
              </w:rPr>
            </w:pPr>
            <w:r>
              <w:rPr>
                <w:rFonts w:ascii="方正黑体_GBK" w:hAnsi="方正黑体_GBK" w:eastAsia="方正黑体_GBK" w:cs="宋体"/>
                <w:sz w:val="20"/>
                <w:szCs w:val="24"/>
              </w:rPr>
              <w:t>96008</w:t>
            </w:r>
          </w:p>
        </w:tc>
      </w:tr>
      <w:tr w14:paraId="17E53435">
        <w:trPr>
          <w:trHeight w:val="300" w:hRule="atLeast"/>
        </w:trPr>
        <w:tc>
          <w:tcPr>
            <w:tcW w:w="2100" w:type="dxa"/>
            <w:tcMar>
              <w:left w:w="120" w:type="dxa"/>
            </w:tcMar>
            <w:vAlign w:val="center"/>
          </w:tcPr>
          <w:p w14:paraId="2676D746">
            <w:pPr>
              <w:spacing w:line="240" w:lineRule="auto"/>
              <w:rPr>
                <w:sz w:val="28"/>
                <w:szCs w:val="28"/>
              </w:rPr>
            </w:pPr>
            <w:r>
              <w:rPr>
                <w:rFonts w:ascii="方正黑体_GBK" w:hAnsi="方正黑体_GBK" w:eastAsia="方正黑体_GBK" w:cs="宋体"/>
                <w:sz w:val="20"/>
                <w:szCs w:val="24"/>
              </w:rPr>
              <w:t>朝阳银行股份有限公司</w:t>
            </w:r>
          </w:p>
        </w:tc>
        <w:tc>
          <w:tcPr>
            <w:tcW w:w="4050" w:type="dxa"/>
            <w:tcMar>
              <w:left w:w="120" w:type="dxa"/>
            </w:tcMar>
            <w:vAlign w:val="center"/>
          </w:tcPr>
          <w:p w14:paraId="541D1132">
            <w:pPr>
              <w:spacing w:line="240" w:lineRule="auto"/>
              <w:rPr>
                <w:sz w:val="28"/>
                <w:szCs w:val="28"/>
              </w:rPr>
            </w:pPr>
            <w:r>
              <w:rPr>
                <w:rFonts w:ascii="方正黑体_GBK" w:hAnsi="方正黑体_GBK" w:eastAsia="方正黑体_GBK" w:cs="宋体"/>
                <w:sz w:val="20"/>
                <w:szCs w:val="24"/>
              </w:rPr>
              <w:t>朝阳市双塔区朝阳大街三段4号</w:t>
            </w:r>
          </w:p>
        </w:tc>
        <w:tc>
          <w:tcPr>
            <w:tcW w:w="1350" w:type="dxa"/>
            <w:tcMar>
              <w:left w:w="120" w:type="dxa"/>
            </w:tcMar>
            <w:vAlign w:val="center"/>
          </w:tcPr>
          <w:p w14:paraId="13B6830A">
            <w:pPr>
              <w:spacing w:line="240" w:lineRule="auto"/>
              <w:rPr>
                <w:sz w:val="28"/>
                <w:szCs w:val="28"/>
              </w:rPr>
            </w:pPr>
            <w:r>
              <w:rPr>
                <w:rFonts w:ascii="方正黑体_GBK" w:hAnsi="方正黑体_GBK" w:eastAsia="方正黑体_GBK" w:cs="宋体"/>
                <w:sz w:val="20"/>
                <w:szCs w:val="24"/>
              </w:rPr>
              <w:t>0421-2632275</w:t>
            </w:r>
          </w:p>
        </w:tc>
      </w:tr>
    </w:tbl>
    <w:p w14:paraId="6AD17C5B">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（二）关联关系信息</w:t>
      </w:r>
    </w:p>
    <w:p w14:paraId="292C1ED9">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（1）与管理人有关联关系的机构信息如下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53EC823D">
        <w:trPr>
          <w:trHeight w:val="300" w:hRule="atLeast"/>
        </w:trPr>
        <w:tc>
          <w:tcPr>
            <w:tcW w:w="3000" w:type="dxa"/>
            <w:vAlign w:val="center"/>
          </w:tcPr>
          <w:p w14:paraId="01C44DF4">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63C928A3">
            <w:pPr>
              <w:spacing w:line="240" w:lineRule="auto"/>
              <w:jc w:val="center"/>
              <w:rPr>
                <w:sz w:val="28"/>
                <w:szCs w:val="28"/>
              </w:rPr>
            </w:pPr>
            <w:r>
              <w:rPr>
                <w:rFonts w:ascii="方正黑体_GBK" w:hAnsi="方正黑体_GBK" w:eastAsia="方正黑体_GBK" w:cs="宋体"/>
                <w:b/>
                <w:sz w:val="20"/>
                <w:szCs w:val="24"/>
              </w:rPr>
              <w:t>关联关系</w:t>
            </w:r>
          </w:p>
        </w:tc>
      </w:tr>
      <w:tr w14:paraId="6473F5C0">
        <w:trPr>
          <w:trHeight w:val="300" w:hRule="atLeast"/>
        </w:trPr>
        <w:tc>
          <w:tcPr>
            <w:tcW w:w="3000" w:type="dxa"/>
            <w:tcMar>
              <w:left w:w="120" w:type="dxa"/>
            </w:tcMar>
            <w:vAlign w:val="center"/>
          </w:tcPr>
          <w:p w14:paraId="036FCE8B">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500" w:type="dxa"/>
            <w:tcMar>
              <w:left w:w="120" w:type="dxa"/>
            </w:tcMar>
            <w:vAlign w:val="center"/>
          </w:tcPr>
          <w:p w14:paraId="2DBEEF8E">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1E682C8F">
        <w:trPr>
          <w:trHeight w:val="300" w:hRule="atLeast"/>
        </w:trPr>
        <w:tc>
          <w:tcPr>
            <w:tcW w:w="3000" w:type="dxa"/>
            <w:tcMar>
              <w:left w:w="120" w:type="dxa"/>
            </w:tcMar>
            <w:vAlign w:val="center"/>
          </w:tcPr>
          <w:p w14:paraId="33787829">
            <w:pPr>
              <w:spacing w:line="240" w:lineRule="auto"/>
              <w:rPr>
                <w:sz w:val="28"/>
                <w:szCs w:val="28"/>
              </w:rPr>
            </w:pPr>
            <w:r>
              <w:rPr>
                <w:rFonts w:ascii="方正黑体_GBK" w:hAnsi="方正黑体_GBK" w:eastAsia="方正黑体_GBK" w:cs="宋体"/>
                <w:sz w:val="20"/>
                <w:szCs w:val="24"/>
              </w:rPr>
              <w:t>江苏江南农村商业银行股份有限公司</w:t>
            </w:r>
          </w:p>
        </w:tc>
        <w:tc>
          <w:tcPr>
            <w:tcW w:w="4500" w:type="dxa"/>
            <w:tcMar>
              <w:left w:w="120" w:type="dxa"/>
            </w:tcMar>
            <w:vAlign w:val="center"/>
          </w:tcPr>
          <w:p w14:paraId="40ECEEE0">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0F17B91F">
        <w:trPr>
          <w:trHeight w:val="300" w:hRule="atLeast"/>
        </w:trPr>
        <w:tc>
          <w:tcPr>
            <w:tcW w:w="3000" w:type="dxa"/>
            <w:tcMar>
              <w:left w:w="120" w:type="dxa"/>
            </w:tcMar>
            <w:vAlign w:val="center"/>
          </w:tcPr>
          <w:p w14:paraId="352DCFB9">
            <w:pPr>
              <w:spacing w:line="240" w:lineRule="auto"/>
              <w:rPr>
                <w:sz w:val="28"/>
                <w:szCs w:val="28"/>
              </w:rPr>
            </w:pPr>
            <w:r>
              <w:rPr>
                <w:rFonts w:ascii="方正黑体_GBK" w:hAnsi="方正黑体_GBK" w:eastAsia="方正黑体_GBK" w:cs="宋体"/>
                <w:sz w:val="20"/>
                <w:szCs w:val="24"/>
              </w:rPr>
              <w:t>南京银行股份有限公司</w:t>
            </w:r>
          </w:p>
        </w:tc>
        <w:tc>
          <w:tcPr>
            <w:tcW w:w="4500" w:type="dxa"/>
            <w:tcMar>
              <w:left w:w="120" w:type="dxa"/>
            </w:tcMar>
            <w:vAlign w:val="center"/>
          </w:tcPr>
          <w:p w14:paraId="440175C8">
            <w:pPr>
              <w:spacing w:line="240" w:lineRule="auto"/>
              <w:rPr>
                <w:sz w:val="28"/>
                <w:szCs w:val="28"/>
              </w:rPr>
            </w:pPr>
            <w:r>
              <w:rPr>
                <w:rFonts w:ascii="方正黑体_GBK" w:hAnsi="方正黑体_GBK" w:eastAsia="方正黑体_GBK" w:cs="宋体"/>
                <w:sz w:val="20"/>
                <w:szCs w:val="24"/>
              </w:rPr>
              <w:t>发行机构股东</w:t>
            </w:r>
          </w:p>
        </w:tc>
      </w:tr>
    </w:tbl>
    <w:p w14:paraId="6482A2B5">
      <w:pPr>
        <w:pStyle w:val="29"/>
        <w:spacing w:line="240" w:lineRule="auto"/>
        <w:ind w:firstLine="400" w:firstLineChars="200"/>
        <w:rPr>
          <w:rFonts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（2）与托管人有关联关系的机构信息如下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07B9992B">
        <w:trPr>
          <w:trHeight w:val="300" w:hRule="atLeast"/>
        </w:trPr>
        <w:tc>
          <w:tcPr>
            <w:tcW w:w="3000" w:type="dxa"/>
            <w:vAlign w:val="center"/>
          </w:tcPr>
          <w:p w14:paraId="62DB7255">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29D8CC72">
            <w:pPr>
              <w:spacing w:line="240" w:lineRule="auto"/>
              <w:jc w:val="center"/>
              <w:rPr>
                <w:sz w:val="28"/>
                <w:szCs w:val="28"/>
              </w:rPr>
            </w:pPr>
            <w:r>
              <w:rPr>
                <w:rFonts w:ascii="方正黑体_GBK" w:hAnsi="方正黑体_GBK" w:eastAsia="方正黑体_GBK" w:cs="宋体"/>
                <w:b/>
                <w:sz w:val="20"/>
                <w:szCs w:val="24"/>
              </w:rPr>
              <w:t>关联关系</w:t>
            </w:r>
          </w:p>
        </w:tc>
      </w:tr>
      <w:tr w14:paraId="50B0B664">
        <w:trPr>
          <w:trHeight w:val="300" w:hRule="atLeast"/>
        </w:trPr>
        <w:tc>
          <w:tcPr>
            <w:tcW w:w="3000" w:type="dxa"/>
            <w:tcMar>
              <w:left w:w="120" w:type="dxa"/>
            </w:tcMar>
            <w:vAlign w:val="center"/>
          </w:tcPr>
          <w:p w14:paraId="6EB1AFDC">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500" w:type="dxa"/>
            <w:tcMar>
              <w:left w:w="120" w:type="dxa"/>
            </w:tcMar>
            <w:vAlign w:val="center"/>
          </w:tcPr>
          <w:p w14:paraId="443C5822">
            <w:pPr>
              <w:spacing w:line="240" w:lineRule="auto"/>
              <w:rPr>
                <w:sz w:val="28"/>
                <w:szCs w:val="28"/>
              </w:rPr>
            </w:pPr>
            <w:r>
              <w:rPr>
                <w:rFonts w:ascii="方正黑体_GBK" w:hAnsi="方正黑体_GBK" w:eastAsia="方正黑体_GBK" w:cs="宋体"/>
                <w:sz w:val="20"/>
                <w:szCs w:val="24"/>
              </w:rPr>
              <w:t>与托管机构存在重大利害关系</w:t>
            </w:r>
          </w:p>
        </w:tc>
      </w:tr>
      <w:tr w14:paraId="0F498B97">
        <w:trPr>
          <w:trHeight w:val="300" w:hRule="atLeast"/>
        </w:trPr>
        <w:tc>
          <w:tcPr>
            <w:tcW w:w="3000" w:type="dxa"/>
            <w:tcMar>
              <w:left w:w="120" w:type="dxa"/>
            </w:tcMar>
            <w:vAlign w:val="center"/>
          </w:tcPr>
          <w:p w14:paraId="5352AC4B">
            <w:pPr>
              <w:spacing w:line="240" w:lineRule="auto"/>
              <w:rPr>
                <w:sz w:val="28"/>
                <w:szCs w:val="28"/>
              </w:rPr>
            </w:pPr>
            <w:r>
              <w:rPr>
                <w:rFonts w:ascii="方正黑体_GBK" w:hAnsi="方正黑体_GBK" w:eastAsia="方正黑体_GBK" w:cs="宋体"/>
                <w:sz w:val="20"/>
                <w:szCs w:val="24"/>
              </w:rPr>
              <w:t>南银理财有限责任公司</w:t>
            </w:r>
          </w:p>
        </w:tc>
        <w:tc>
          <w:tcPr>
            <w:tcW w:w="4500" w:type="dxa"/>
            <w:tcMar>
              <w:left w:w="120" w:type="dxa"/>
            </w:tcMar>
            <w:vAlign w:val="center"/>
          </w:tcPr>
          <w:p w14:paraId="703BF61C">
            <w:pPr>
              <w:spacing w:line="240" w:lineRule="auto"/>
              <w:rPr>
                <w:sz w:val="28"/>
                <w:szCs w:val="28"/>
              </w:rPr>
            </w:pPr>
            <w:r>
              <w:rPr>
                <w:rFonts w:ascii="方正黑体_GBK" w:hAnsi="方正黑体_GBK" w:eastAsia="方正黑体_GBK" w:cs="宋体"/>
                <w:sz w:val="20"/>
                <w:szCs w:val="24"/>
              </w:rPr>
              <w:t>托管机构的控股机构</w:t>
            </w:r>
          </w:p>
        </w:tc>
      </w:tr>
    </w:tbl>
    <w:p w14:paraId="56F7659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六</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信息披露</w:t>
      </w:r>
    </w:p>
    <w:p w14:paraId="3C382142">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信息披露渠道</w:t>
      </w:r>
    </w:p>
    <w:p w14:paraId="2ED70B0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vanish w:val="0"/>
          <w:color w:val="3D3D3D"/>
          <w:kern w:val="0"/>
          <w:sz w:val="20"/>
          <w:szCs w:val="20"/>
        </w:rPr>
      </w:pPr>
      <w:r>
        <w:rPr>
          <w:rFonts w:ascii="方正黑体_GBK" w:hAnsi="方正黑体_GBK" w:eastAsia="方正黑体_GBK"/>
          <w:vanish w:val="0"/>
          <w:color w:val="3D3D3D"/>
          <w:kern w:val="0"/>
          <w:sz w:val="20"/>
          <w:szCs w:val="20"/>
        </w:rPr>
        <w:t>本理财产品的信息披露渠道至少包括行业统一信息披露渠道中国理财网（www.chinawealth.com.cn），其他信息披露渠道包括但不限于南银理财官网（www.nanyinwealth.com），销售机构的营业网点、官方网站、网上银行、手机银行、电话和短信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ascii="方正黑体_GBK" w:hAnsi="方正黑体_GBK" w:eastAsia="方正黑体_GBK"/>
          <w:vanish w:val="0"/>
          <w:color w:val="3D3D3D"/>
          <w:kern w:val="0"/>
          <w:sz w:val="20"/>
          <w:szCs w:val="20"/>
        </w:rPr>
        <w:t>。</w:t>
      </w:r>
    </w:p>
    <w:p w14:paraId="66D0EB1A">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信息披露的内容及时间</w:t>
      </w:r>
    </w:p>
    <w:p w14:paraId="785FA9AB">
      <w:pPr>
        <w:spacing w:line="240" w:lineRule="auto"/>
        <w:ind w:firstLine="300"/>
        <w:rPr>
          <w:sz w:val="28"/>
          <w:szCs w:val="28"/>
        </w:rPr>
      </w:pPr>
      <w:r>
        <w:rPr>
          <w:rFonts w:ascii="方正黑体_GBK" w:hAnsi="方正黑体_GBK" w:eastAsia="方正黑体_GBK" w:cs="宋体"/>
          <w:sz w:val="20"/>
          <w:szCs w:val="24"/>
        </w:rPr>
        <w:t>1.净值信息</w:t>
      </w:r>
    </w:p>
    <w:p w14:paraId="04C42113">
      <w:pPr>
        <w:spacing w:line="240" w:lineRule="auto"/>
        <w:ind w:firstLine="300"/>
        <w:rPr>
          <w:sz w:val="28"/>
          <w:szCs w:val="28"/>
        </w:rPr>
      </w:pPr>
      <w:r>
        <w:rPr>
          <w:rFonts w:ascii="方正黑体_GBK" w:hAnsi="方正黑体_GBK" w:eastAsia="方正黑体_GBK" w:cs="宋体"/>
          <w:sz w:val="20"/>
          <w:szCs w:val="24"/>
        </w:rPr>
        <w:t>管理人在本理财产品存续期间至少按周向投资者披露净值。</w:t>
      </w:r>
    </w:p>
    <w:p w14:paraId="57BE829E">
      <w:pPr>
        <w:spacing w:line="240" w:lineRule="auto"/>
        <w:ind w:firstLine="300"/>
        <w:rPr>
          <w:sz w:val="28"/>
          <w:szCs w:val="28"/>
        </w:rPr>
      </w:pPr>
      <w:r>
        <w:rPr>
          <w:rFonts w:ascii="方正黑体_GBK" w:hAnsi="方正黑体_GBK" w:eastAsia="方正黑体_GBK" w:cs="宋体"/>
          <w:sz w:val="20"/>
          <w:szCs w:val="24"/>
        </w:rPr>
        <w:t>2.产品发行公告</w:t>
      </w:r>
    </w:p>
    <w:p w14:paraId="2EF5D589">
      <w:pPr>
        <w:spacing w:line="240" w:lineRule="auto"/>
        <w:ind w:firstLine="300"/>
        <w:rPr>
          <w:sz w:val="28"/>
          <w:szCs w:val="28"/>
        </w:rPr>
      </w:pPr>
      <w:r>
        <w:rPr>
          <w:rFonts w:ascii="方正黑体_GBK" w:hAnsi="方正黑体_GBK" w:eastAsia="方正黑体_GBK" w:cs="宋体"/>
          <w:sz w:val="20"/>
          <w:szCs w:val="24"/>
        </w:rPr>
        <w:t>管理人将在本理财产品成立后5个工作日内披露产品发行公告。</w:t>
      </w:r>
    </w:p>
    <w:p w14:paraId="4F6E2E4B">
      <w:pPr>
        <w:spacing w:line="240" w:lineRule="auto"/>
        <w:ind w:firstLine="300"/>
        <w:rPr>
          <w:sz w:val="28"/>
          <w:szCs w:val="28"/>
        </w:rPr>
      </w:pPr>
      <w:r>
        <w:rPr>
          <w:rFonts w:ascii="方正黑体_GBK" w:hAnsi="方正黑体_GBK" w:eastAsia="方正黑体_GBK" w:cs="宋体"/>
          <w:sz w:val="20"/>
          <w:szCs w:val="24"/>
        </w:rPr>
        <w:t>3.定期报告</w:t>
      </w:r>
    </w:p>
    <w:p w14:paraId="068E57E1">
      <w:pPr>
        <w:spacing w:line="240" w:lineRule="auto"/>
        <w:ind w:firstLine="300"/>
        <w:rPr>
          <w:sz w:val="28"/>
          <w:szCs w:val="28"/>
        </w:rPr>
      </w:pPr>
      <w:r>
        <w:rPr>
          <w:rFonts w:ascii="方正黑体_GBK" w:hAnsi="方正黑体_GBK" w:eastAsia="方正黑体_GBK" w:cs="宋体"/>
          <w:color w:val="3D3D3D"/>
          <w:sz w:val="20"/>
          <w:szCs w:val="24"/>
        </w:rPr>
        <w:t>管理人将在每个季度结束之日起15个工作日内披露产品的季度报告，每年8月31日前披露产品的半年度报告，每年4月30日前披露产品上一年度的年度报告。如果本理财产品成立不足90个自然日，管理人可以不编制产品当期的季度、半年和年度报告。首次定期报告的报告期（季度、半年或年度）从成立日开始至第一个报告期末。如本理财产品期限超过90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14:paraId="57E30BAF">
      <w:pPr>
        <w:spacing w:line="240" w:lineRule="auto"/>
        <w:ind w:firstLine="300"/>
        <w:rPr>
          <w:sz w:val="28"/>
          <w:szCs w:val="28"/>
        </w:rPr>
      </w:pPr>
      <w:r>
        <w:rPr>
          <w:rFonts w:ascii="方正黑体_GBK" w:hAnsi="方正黑体_GBK" w:eastAsia="方正黑体_GBK" w:cs="宋体"/>
          <w:sz w:val="20"/>
          <w:szCs w:val="24"/>
        </w:rPr>
        <w:t>4.到期公告</w:t>
      </w:r>
    </w:p>
    <w:p w14:paraId="36F1A215">
      <w:pPr>
        <w:spacing w:line="240" w:lineRule="auto"/>
        <w:ind w:firstLine="300"/>
        <w:rPr>
          <w:sz w:val="28"/>
          <w:szCs w:val="28"/>
        </w:rPr>
      </w:pPr>
      <w:r>
        <w:rPr>
          <w:rFonts w:ascii="方正黑体_GBK" w:hAnsi="方正黑体_GBK" w:eastAsia="方正黑体_GBK" w:cs="宋体"/>
          <w:sz w:val="20"/>
          <w:szCs w:val="24"/>
        </w:rPr>
        <w:t>管理人将在本理财产品终止后5个工作日内披露产品到期公告。</w:t>
      </w:r>
    </w:p>
    <w:p w14:paraId="4A2FB52C">
      <w:pPr>
        <w:spacing w:line="240" w:lineRule="auto"/>
        <w:ind w:firstLine="300"/>
        <w:rPr>
          <w:sz w:val="28"/>
          <w:szCs w:val="28"/>
        </w:rPr>
      </w:pPr>
      <w:r>
        <w:rPr>
          <w:rFonts w:ascii="方正黑体_GBK" w:hAnsi="方正黑体_GBK" w:eastAsia="方正黑体_GBK" w:cs="宋体"/>
          <w:sz w:val="20"/>
          <w:szCs w:val="24"/>
        </w:rPr>
        <w:t>5.重大事项公告</w:t>
      </w:r>
    </w:p>
    <w:p w14:paraId="11288DDD">
      <w:pPr>
        <w:spacing w:line="240" w:lineRule="auto"/>
        <w:ind w:firstLine="300"/>
        <w:rPr>
          <w:sz w:val="28"/>
          <w:szCs w:val="28"/>
        </w:rPr>
      </w:pPr>
      <w:r>
        <w:rPr>
          <w:rFonts w:ascii="方正黑体_GBK" w:hAnsi="方正黑体_GBK" w:eastAsia="方正黑体_GBK" w:cs="宋体"/>
          <w:sz w:val="20"/>
          <w:szCs w:val="24"/>
        </w:rPr>
        <w:t>管理人将在发生可能对本理财产品投资者或者理财产品收益产生重大影响的事件后2个工作日内披露重大事项公告。</w:t>
      </w:r>
    </w:p>
    <w:p w14:paraId="326FD286">
      <w:pPr>
        <w:spacing w:line="240" w:lineRule="auto"/>
        <w:ind w:firstLine="300"/>
        <w:rPr>
          <w:sz w:val="28"/>
          <w:szCs w:val="28"/>
        </w:rPr>
      </w:pPr>
      <w:r>
        <w:rPr>
          <w:rFonts w:ascii="方正黑体_GBK" w:hAnsi="方正黑体_GBK" w:eastAsia="方正黑体_GBK" w:cs="宋体"/>
          <w:sz w:val="20"/>
          <w:szCs w:val="24"/>
        </w:rPr>
        <w:t>6.临时公告</w:t>
      </w:r>
    </w:p>
    <w:p w14:paraId="33786145">
      <w:pPr>
        <w:spacing w:line="240" w:lineRule="auto"/>
        <w:ind w:firstLine="300"/>
        <w:rPr>
          <w:sz w:val="28"/>
          <w:szCs w:val="28"/>
        </w:rPr>
      </w:pPr>
      <w:r>
        <w:rPr>
          <w:rFonts w:ascii="方正黑体_GBK" w:hAnsi="方正黑体_GBK" w:eastAsia="方正黑体_GBK" w:cs="宋体"/>
          <w:sz w:val="20"/>
          <w:szCs w:val="24"/>
        </w:rPr>
        <w:t>理财产品在运作管理过程中，发生可能对理财产品持有人权益产生影响的事项时，管理人将根据法律法规规定及时进行临时信息披露。</w:t>
      </w:r>
    </w:p>
    <w:p w14:paraId="6C8767C3">
      <w:pPr>
        <w:spacing w:line="240" w:lineRule="auto"/>
        <w:ind w:firstLine="300"/>
        <w:rPr>
          <w:sz w:val="28"/>
          <w:szCs w:val="28"/>
        </w:rPr>
      </w:pPr>
      <w:r>
        <w:rPr>
          <w:rFonts w:ascii="方正黑体_GBK" w:hAnsi="方正黑体_GBK" w:eastAsia="方正黑体_GBK" w:cs="宋体"/>
          <w:sz w:val="20"/>
          <w:szCs w:val="24"/>
        </w:rPr>
        <w:t>7.关联交易信息披露</w:t>
      </w:r>
    </w:p>
    <w:p w14:paraId="57675555">
      <w:pPr>
        <w:spacing w:line="240" w:lineRule="auto"/>
        <w:ind w:firstLine="300"/>
        <w:rPr>
          <w:sz w:val="28"/>
          <w:szCs w:val="28"/>
        </w:rPr>
      </w:pPr>
      <w:r>
        <w:rPr>
          <w:rFonts w:ascii="方正黑体_GBK" w:hAnsi="方正黑体_GBK" w:eastAsia="方正黑体_GBK" w:cs="宋体"/>
          <w:sz w:val="20"/>
          <w:szCs w:val="24"/>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14:paraId="7A01B3A3">
      <w:pPr>
        <w:spacing w:line="240" w:lineRule="auto"/>
        <w:ind w:firstLine="300"/>
        <w:rPr>
          <w:sz w:val="28"/>
          <w:szCs w:val="28"/>
        </w:rPr>
      </w:pPr>
      <w:r>
        <w:rPr>
          <w:rFonts w:ascii="方正黑体_GBK" w:hAnsi="方正黑体_GBK" w:eastAsia="方正黑体_GBK" w:cs="宋体"/>
          <w:sz w:val="20"/>
          <w:szCs w:val="24"/>
        </w:rPr>
        <w:t>8.账单</w:t>
      </w:r>
    </w:p>
    <w:p w14:paraId="2C5135DE">
      <w:pPr>
        <w:spacing w:line="240" w:lineRule="auto"/>
        <w:ind w:firstLine="300"/>
        <w:rPr>
          <w:sz w:val="28"/>
          <w:szCs w:val="28"/>
        </w:rPr>
      </w:pPr>
      <w:r>
        <w:rPr>
          <w:rFonts w:ascii="方正黑体_GBK" w:hAnsi="方正黑体_GBK" w:eastAsia="方正黑体_GBK" w:cs="宋体"/>
          <w:sz w:val="20"/>
          <w:szCs w:val="24"/>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14:paraId="6102D9A1">
      <w:pPr>
        <w:spacing w:line="240" w:lineRule="auto"/>
        <w:ind w:firstLine="300"/>
        <w:rPr>
          <w:sz w:val="28"/>
          <w:szCs w:val="28"/>
        </w:rPr>
      </w:pPr>
      <w:r>
        <w:rPr>
          <w:rFonts w:ascii="方正黑体_GBK" w:hAnsi="方正黑体_GBK" w:eastAsia="方正黑体_GBK" w:cs="宋体"/>
          <w:b/>
          <w:sz w:val="20"/>
          <w:szCs w:val="24"/>
        </w:rPr>
        <w:t>9.在本理财产品存续期内：</w:t>
      </w:r>
    </w:p>
    <w:p w14:paraId="4380550A">
      <w:pPr>
        <w:spacing w:line="240" w:lineRule="auto"/>
        <w:ind w:firstLine="300"/>
        <w:rPr>
          <w:sz w:val="28"/>
          <w:szCs w:val="28"/>
        </w:rPr>
      </w:pPr>
      <w:r>
        <w:rPr>
          <w:rFonts w:ascii="方正黑体_GBK" w:hAnsi="方正黑体_GBK" w:eastAsia="方正黑体_GBK" w:cs="宋体"/>
          <w:b/>
          <w:sz w:val="20"/>
          <w:szCs w:val="24"/>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500104D8">
      <w:pPr>
        <w:spacing w:line="240" w:lineRule="auto"/>
        <w:ind w:firstLine="300"/>
        <w:rPr>
          <w:sz w:val="28"/>
          <w:szCs w:val="28"/>
        </w:rPr>
      </w:pPr>
      <w:r>
        <w:rPr>
          <w:rFonts w:ascii="方正黑体_GBK" w:hAnsi="方正黑体_GBK" w:eastAsia="方正黑体_GBK" w:cs="宋体"/>
          <w:sz w:val="20"/>
          <w:szCs w:val="24"/>
        </w:rPr>
        <w:t>10.其他公告</w:t>
      </w:r>
    </w:p>
    <w:p w14:paraId="3513C1FB">
      <w:pPr>
        <w:spacing w:line="240" w:lineRule="auto"/>
        <w:ind w:firstLine="300"/>
        <w:rPr>
          <w:sz w:val="28"/>
          <w:szCs w:val="28"/>
        </w:rPr>
      </w:pPr>
      <w:r>
        <w:rPr>
          <w:rFonts w:ascii="方正黑体_GBK" w:hAnsi="方正黑体_GBK" w:eastAsia="方正黑体_GBK" w:cs="宋体"/>
          <w:sz w:val="20"/>
          <w:szCs w:val="24"/>
        </w:rPr>
        <w:t>理财产品在运作管理过程中，管理人根据实际运作情况发布的其他公告。</w:t>
      </w:r>
    </w:p>
    <w:p w14:paraId="446D319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七</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投资者保护提示</w:t>
      </w:r>
    </w:p>
    <w:p w14:paraId="78FC283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您如对销售机构产品推介和销售等服务有任何意见或建议，您可通过拨打销售机构客服电话进行咨询及反馈。</w:t>
      </w:r>
    </w:p>
    <w:p w14:paraId="252BA60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您如对理财产品设计、投资管理等事项有任何意见或建议，您可通过拨打管理人客服电话进行咨询及反馈。</w:t>
      </w:r>
    </w:p>
    <w:p w14:paraId="19AB3330">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销售机构及管理人的联系方式详见《投资者权益须知》第八条。</w:t>
      </w:r>
    </w:p>
    <w:p w14:paraId="713A73D7">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八</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法律适用和争议解决</w:t>
      </w:r>
    </w:p>
    <w:p w14:paraId="52D33DFC">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理财产品销售文件的订立、生效、履行、解释、修改和终止等事项的适用法律和争议解决方式按照销售协议书的相关约定执行。</w:t>
      </w:r>
    </w:p>
    <w:p w14:paraId="2B27023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九</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重要提示</w:t>
      </w:r>
    </w:p>
    <w:p w14:paraId="504F4B5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请您一定仔细阅读本理财产品销售文件，了解理财产品具体情况，关注投资风险，自主决定是否投资。</w:t>
      </w:r>
    </w:p>
    <w:p w14:paraId="7AB1BD4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投资者特此</w:t>
      </w:r>
      <w:r>
        <w:rPr>
          <w:rFonts w:hint="eastAsia" w:ascii="方正黑体_GBK" w:hAnsi="方正黑体_GBK" w:eastAsia="方正黑体_GBK" w:cs="Times New Roman"/>
          <w:b/>
          <w:bCs/>
          <w:vanish w:val="0"/>
          <w:color w:val="auto"/>
          <w:kern w:val="0"/>
          <w:sz w:val="20"/>
          <w:szCs w:val="20"/>
        </w:rPr>
        <w:t>同</w:t>
      </w:r>
      <w:r>
        <w:rPr>
          <w:rFonts w:hint="eastAsia" w:ascii="方正黑体_GBK" w:hAnsi="方正黑体_GBK" w:eastAsia="方正黑体_GBK"/>
          <w:b/>
          <w:bCs/>
          <w:vanish w:val="0"/>
          <w:color w:val="auto"/>
          <w:kern w:val="0"/>
          <w:sz w:val="20"/>
          <w:szCs w:val="20"/>
        </w:rPr>
        <w:t>意</w:t>
      </w:r>
      <w:r>
        <w:rPr>
          <w:rFonts w:hint="eastAsia" w:ascii="方正黑体_GBK" w:hAnsi="方正黑体_GBK" w:eastAsia="方正黑体_GBK" w:cs="Times New Roman"/>
          <w:b/>
          <w:bCs/>
          <w:vanish w:val="0"/>
          <w:color w:val="auto"/>
          <w:kern w:val="0"/>
          <w:sz w:val="20"/>
          <w:szCs w:val="20"/>
        </w:rPr>
        <w:t>并授权：</w:t>
      </w:r>
      <w:r>
        <w:rPr>
          <w:rFonts w:hint="eastAsia" w:ascii="方正黑体_GBK" w:hAnsi="方正黑体_GBK" w:eastAsia="方正黑体_GBK"/>
          <w:b/>
          <w:bCs/>
          <w:vanish w:val="0"/>
          <w:color w:val="auto"/>
          <w:kern w:val="0"/>
          <w:sz w:val="20"/>
          <w:szCs w:val="20"/>
        </w:rPr>
        <w:t>管理人</w:t>
      </w:r>
      <w:r>
        <w:rPr>
          <w:rFonts w:hint="eastAsia" w:ascii="方正黑体_GBK" w:hAnsi="方正黑体_GBK" w:eastAsia="方正黑体_GBK" w:cs="Times New Roman"/>
          <w:b/>
          <w:bCs/>
          <w:vanish w:val="0"/>
          <w:color w:val="auto"/>
          <w:kern w:val="0"/>
          <w:sz w:val="20"/>
          <w:szCs w:val="20"/>
        </w:rPr>
        <w:t>及销售机构</w:t>
      </w:r>
      <w:r>
        <w:rPr>
          <w:rFonts w:hint="eastAsia" w:ascii="方正黑体_GBK" w:hAnsi="方正黑体_GBK" w:eastAsia="方正黑体_GBK"/>
          <w:b/>
          <w:bCs/>
          <w:vanish w:val="0"/>
          <w:color w:val="auto"/>
          <w:kern w:val="0"/>
          <w:sz w:val="20"/>
          <w:szCs w:val="20"/>
        </w:rPr>
        <w:t>有权按照法律法规</w:t>
      </w:r>
      <w:r>
        <w:rPr>
          <w:rFonts w:hint="eastAsia" w:ascii="方正黑体_GBK" w:hAnsi="方正黑体_GBK" w:eastAsia="方正黑体_GBK" w:cs="Times New Roman"/>
          <w:b/>
          <w:bCs/>
          <w:vanish w:val="0"/>
          <w:color w:val="auto"/>
          <w:kern w:val="0"/>
          <w:sz w:val="20"/>
          <w:szCs w:val="20"/>
        </w:rPr>
        <w:t>规定，遵循正当、必要的原则，收集、使用投资者个人信息，包括但不限于</w:t>
      </w:r>
      <w:r>
        <w:rPr>
          <w:rFonts w:hint="eastAsia" w:ascii="方正黑体_GBK" w:hAnsi="方正黑体_GBK" w:eastAsia="方正黑体_GBK"/>
          <w:b/>
          <w:bCs/>
          <w:vanish w:val="0"/>
          <w:color w:val="auto"/>
          <w:kern w:val="0"/>
          <w:sz w:val="20"/>
          <w:szCs w:val="20"/>
        </w:rPr>
        <w:t>根据法律法规规定</w:t>
      </w:r>
      <w:r>
        <w:rPr>
          <w:rFonts w:hint="eastAsia" w:ascii="方正黑体_GBK" w:hAnsi="方正黑体_GBK" w:eastAsia="方正黑体_GBK" w:cs="Times New Roman"/>
          <w:b/>
          <w:bCs/>
          <w:vanish w:val="0"/>
          <w:color w:val="auto"/>
          <w:kern w:val="0"/>
          <w:sz w:val="20"/>
          <w:szCs w:val="20"/>
        </w:rPr>
        <w:t>、监管或</w:t>
      </w:r>
      <w:r>
        <w:rPr>
          <w:rFonts w:hint="eastAsia" w:ascii="方正黑体_GBK" w:hAnsi="方正黑体_GBK" w:eastAsia="方正黑体_GBK"/>
          <w:b/>
          <w:bCs/>
          <w:vanish w:val="0"/>
          <w:color w:val="auto"/>
          <w:kern w:val="0"/>
          <w:sz w:val="20"/>
          <w:szCs w:val="20"/>
        </w:rPr>
        <w:t>有权机关要求</w:t>
      </w:r>
      <w:r>
        <w:rPr>
          <w:rFonts w:hint="eastAsia" w:ascii="方正黑体_GBK" w:hAnsi="方正黑体_GBK" w:eastAsia="方正黑体_GBK" w:cs="Times New Roman"/>
          <w:b/>
          <w:bCs/>
          <w:vanish w:val="0"/>
          <w:color w:val="auto"/>
          <w:kern w:val="0"/>
          <w:sz w:val="20"/>
          <w:szCs w:val="20"/>
        </w:rPr>
        <w:t>、理财业务需要等采集、处理及使用</w:t>
      </w:r>
      <w:r>
        <w:rPr>
          <w:rFonts w:hint="eastAsia" w:ascii="方正黑体_GBK" w:hAnsi="方正黑体_GBK" w:eastAsia="方正黑体_GBK"/>
          <w:b/>
          <w:bCs/>
          <w:vanish w:val="0"/>
          <w:color w:val="auto"/>
          <w:kern w:val="0"/>
          <w:sz w:val="20"/>
          <w:szCs w:val="20"/>
        </w:rPr>
        <w:t>投资者身份、持有理财产品、理财产品交易等信息</w:t>
      </w:r>
      <w:r>
        <w:rPr>
          <w:rFonts w:hint="eastAsia" w:ascii="方正黑体_GBK" w:hAnsi="方正黑体_GBK" w:eastAsia="方正黑体_GBK" w:cs="Times New Roman"/>
          <w:b/>
          <w:bCs/>
          <w:vanish w:val="0"/>
          <w:color w:val="auto"/>
          <w:kern w:val="0"/>
          <w:sz w:val="20"/>
          <w:szCs w:val="20"/>
        </w:rPr>
        <w:t>，</w:t>
      </w:r>
      <w:r>
        <w:rPr>
          <w:rFonts w:hint="eastAsia" w:ascii="方正黑体_GBK" w:hAnsi="方正黑体_GBK" w:eastAsia="方正黑体_GBK"/>
          <w:b/>
          <w:bCs/>
          <w:vanish w:val="0"/>
          <w:color w:val="auto"/>
          <w:kern w:val="0"/>
          <w:sz w:val="20"/>
          <w:szCs w:val="20"/>
        </w:rPr>
        <w:t>以及</w:t>
      </w:r>
      <w:r>
        <w:rPr>
          <w:rFonts w:hint="eastAsia" w:ascii="方正黑体_GBK" w:hAnsi="方正黑体_GBK" w:eastAsia="方正黑体_GBK"/>
          <w:b/>
          <w:bCs/>
          <w:vanish w:val="0"/>
          <w:color w:val="auto"/>
          <w:spacing w:val="0"/>
          <w:kern w:val="0"/>
          <w:sz w:val="20"/>
          <w:szCs w:val="20"/>
        </w:rPr>
        <w:t>在办理与理财产品相关事项</w:t>
      </w:r>
      <w:r>
        <w:rPr>
          <w:rFonts w:hint="eastAsia" w:ascii="方正黑体_GBK" w:hAnsi="方正黑体_GBK" w:eastAsia="方正黑体_GBK" w:cs="Times New Roman"/>
          <w:b/>
          <w:bCs/>
          <w:vanish w:val="0"/>
          <w:color w:val="auto"/>
          <w:spacing w:val="0"/>
          <w:kern w:val="0"/>
          <w:sz w:val="20"/>
          <w:szCs w:val="20"/>
        </w:rPr>
        <w:t>需要</w:t>
      </w:r>
      <w:r>
        <w:rPr>
          <w:rFonts w:hint="eastAsia" w:ascii="方正黑体_GBK" w:hAnsi="方正黑体_GBK" w:eastAsia="方正黑体_GBK"/>
          <w:b/>
          <w:bCs/>
          <w:vanish w:val="0"/>
          <w:color w:val="auto"/>
          <w:spacing w:val="0"/>
          <w:kern w:val="0"/>
          <w:sz w:val="20"/>
          <w:szCs w:val="20"/>
        </w:rPr>
        <w:t>的情况下向服务机构及其他管理人或销售机构认为必要的业务合作机构提供投资者</w:t>
      </w:r>
      <w:r>
        <w:rPr>
          <w:rFonts w:hint="eastAsia" w:ascii="方正黑体_GBK" w:hAnsi="方正黑体_GBK" w:eastAsia="方正黑体_GBK" w:cs="Times New Roman"/>
          <w:b/>
          <w:bCs/>
          <w:vanish w:val="0"/>
          <w:color w:val="auto"/>
          <w:spacing w:val="0"/>
          <w:kern w:val="0"/>
          <w:sz w:val="20"/>
          <w:szCs w:val="20"/>
        </w:rPr>
        <w:t>相关</w:t>
      </w:r>
      <w:r>
        <w:rPr>
          <w:rFonts w:hint="eastAsia" w:ascii="方正黑体_GBK" w:hAnsi="方正黑体_GBK" w:eastAsia="方正黑体_GBK"/>
          <w:b/>
          <w:bCs/>
          <w:vanish w:val="0"/>
          <w:color w:val="auto"/>
          <w:spacing w:val="0"/>
          <w:kern w:val="0"/>
          <w:sz w:val="20"/>
          <w:szCs w:val="20"/>
        </w:rPr>
        <w:t>信息</w:t>
      </w:r>
      <w:r>
        <w:rPr>
          <w:rFonts w:hint="eastAsia" w:ascii="方正黑体_GBK" w:hAnsi="方正黑体_GBK" w:eastAsia="方正黑体_GBK" w:cs="Times New Roman"/>
          <w:b/>
          <w:bCs/>
          <w:vanish w:val="0"/>
          <w:color w:val="auto"/>
          <w:spacing w:val="0"/>
          <w:kern w:val="0"/>
          <w:sz w:val="20"/>
          <w:szCs w:val="20"/>
        </w:rPr>
        <w:t>。</w:t>
      </w:r>
      <w:r>
        <w:rPr>
          <w:rFonts w:hint="eastAsia" w:ascii="方正黑体_GBK" w:hAnsi="方正黑体_GBK" w:eastAsia="方正黑体_GBK"/>
          <w:b/>
          <w:bCs/>
          <w:vanish w:val="0"/>
          <w:color w:val="auto"/>
          <w:kern w:val="0"/>
          <w:sz w:val="20"/>
          <w:szCs w:val="20"/>
        </w:rPr>
        <w:t>管理人及销售机构保证信息采集、处理及使用的安全性和合法性</w:t>
      </w:r>
      <w:r>
        <w:rPr>
          <w:rFonts w:hint="eastAsia" w:ascii="方正黑体_GBK" w:hAnsi="方正黑体_GBK" w:eastAsia="方正黑体_GBK"/>
          <w:b/>
          <w:bCs/>
          <w:vanish w:val="0"/>
          <w:color w:val="auto"/>
          <w:spacing w:val="0"/>
          <w:kern w:val="0"/>
          <w:sz w:val="20"/>
          <w:szCs w:val="20"/>
        </w:rPr>
        <w:t>。</w:t>
      </w:r>
    </w:p>
    <w:p w14:paraId="4E95B7D7">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本理财产品说明书在法律许可的范围内由管理人负责解释。若投资者对本理财说明书的内容有任何疑问或异议，</w:t>
      </w:r>
      <w:r>
        <w:rPr>
          <w:rFonts w:hint="eastAsia" w:ascii="方正黑体_GBK" w:hAnsi="方正黑体_GBK" w:eastAsia="方正黑体_GBK" w:cs="Times New Roman"/>
          <w:b/>
          <w:bCs/>
          <w:vanish w:val="0"/>
          <w:color w:val="auto"/>
          <w:kern w:val="0"/>
          <w:sz w:val="20"/>
          <w:szCs w:val="20"/>
        </w:rPr>
        <w:t>可与管理人或销售机构联系，管理人或销售机构将及时接听、记录投资者的意见或建议，并与投资者协商共同解决</w:t>
      </w:r>
      <w:r>
        <w:rPr>
          <w:rFonts w:hint="eastAsia" w:ascii="方正黑体_GBK" w:hAnsi="方正黑体_GBK" w:eastAsia="方正黑体_GBK"/>
          <w:b/>
          <w:bCs/>
          <w:vanish w:val="0"/>
          <w:color w:val="auto"/>
          <w:kern w:val="0"/>
          <w:sz w:val="20"/>
          <w:szCs w:val="20"/>
        </w:rPr>
        <w:t>。</w:t>
      </w:r>
    </w:p>
    <w:p w14:paraId="0E5A6D5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p>
    <w:p w14:paraId="03AC90B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风险提示：</w:t>
      </w:r>
    </w:p>
    <w:p w14:paraId="1DB8D0AF">
      <w:pPr>
        <w:pStyle w:val="29"/>
        <w:tabs>
          <w:tab w:val="left" w:pos="8033"/>
        </w:tabs>
        <w:spacing w:line="240" w:lineRule="auto"/>
        <w:ind w:left="0" w:firstLine="0"/>
        <w:jc w:val="left"/>
        <w:rPr>
          <w:rFonts w:hint="eastAsia" w:ascii="方正黑体_GBK" w:hAnsi="方正黑体_GBK" w:eastAsia="方正黑体_GBK"/>
          <w:sz w:val="24"/>
          <w:szCs w:val="24"/>
          <w:lang w:val="en-US" w:eastAsia="zh-CN"/>
        </w:rPr>
      </w:pPr>
      <w:r>
        <w:rPr>
          <w:rFonts w:hint="eastAsia" w:ascii="方正黑体_GBK" w:hAnsi="方正黑体_GBK" w:eastAsia="方正黑体_GBK"/>
          <w:b/>
          <w:bCs/>
          <w:color w:val="3D3D3D"/>
          <w:kern w:val="0"/>
          <w:sz w:val="20"/>
          <w:szCs w:val="20"/>
        </w:rPr>
        <w:t>本理财产品是</w:t>
      </w:r>
      <w:r>
        <w:rPr>
          <w:rFonts w:hint="eastAsia" w:ascii="方正黑体_GBK" w:hAnsi="方正黑体_GBK" w:eastAsia="方正黑体_GBK" w:cs="宋体"/>
          <w:b/>
          <w:bCs/>
          <w:i/>
          <w:iCs/>
          <w:caps w:val="0"/>
          <w:smallCaps w:val="0"/>
          <w:snapToGrid/>
          <w:vanish w:val="0"/>
          <w:color w:val="auto"/>
          <w:kern w:val="0"/>
          <w:sz w:val="24"/>
          <w:szCs w:val="22"/>
          <w:u w:val="single"/>
          <w:vertAlign w:val="baseline"/>
          <w:lang w:val="en-US" w:eastAsia="zh-CN"/>
        </w:rPr>
        <w:t>封闭式、固定收益类、公募、净值型</w:t>
      </w:r>
      <w:r>
        <w:rPr>
          <w:rFonts w:hint="eastAsia" w:ascii="方正黑体_GBK" w:hAnsi="方正黑体_GBK" w:eastAsia="方正黑体_GBK"/>
          <w:b/>
          <w:bCs/>
          <w:color w:val="3D3D3D"/>
          <w:kern w:val="0"/>
          <w:sz w:val="20"/>
          <w:szCs w:val="20"/>
        </w:rPr>
        <w:t>理财产品，</w:t>
      </w:r>
      <w:r>
        <w:rPr>
          <w:rFonts w:hint="eastAsia" w:ascii="方正黑体_GBK" w:hAnsi="方正黑体_GBK" w:eastAsia="方正黑体_GBK"/>
          <w:b/>
          <w:bCs/>
          <w:i/>
          <w:iCs/>
          <w:color w:val="3D3D3D"/>
          <w:kern w:val="0"/>
          <w:sz w:val="28"/>
          <w:szCs w:val="28"/>
          <w:u w:val="single"/>
        </w:rPr>
        <w:t>不保证本金和收益</w:t>
      </w:r>
      <w:r>
        <w:rPr>
          <w:rFonts w:hint="eastAsia" w:ascii="方正黑体_GBK" w:hAnsi="方正黑体_GBK" w:eastAsia="方正黑体_GBK"/>
          <w:b/>
          <w:bCs/>
          <w:color w:val="3D3D3D"/>
          <w:kern w:val="0"/>
          <w:sz w:val="20"/>
          <w:szCs w:val="20"/>
        </w:rPr>
        <w:t>，您的本金与收益可能会蒙受重大损失，您应仔细阅读</w:t>
      </w:r>
      <w:r>
        <w:rPr>
          <w:rFonts w:hint="eastAsia" w:ascii="方正黑体_GBK" w:hAnsi="方正黑体_GBK" w:eastAsia="方正黑体_GBK" w:cs="Times New Roman"/>
          <w:b/>
          <w:bCs/>
          <w:color w:val="3D3D3D"/>
          <w:kern w:val="0"/>
          <w:sz w:val="20"/>
          <w:szCs w:val="20"/>
        </w:rPr>
        <w:t>《理财产品风险揭示书》《理财产品说明书》《投资者权益须知》《理财产品销售协议书》《理财产品投资协议书》</w:t>
      </w:r>
      <w:r>
        <w:rPr>
          <w:rFonts w:hint="eastAsia" w:ascii="方正黑体_GBK" w:hAnsi="方正黑体_GBK" w:eastAsia="方正黑体_GBK"/>
          <w:b/>
          <w:bCs/>
          <w:color w:val="3D3D3D"/>
          <w:kern w:val="0"/>
          <w:sz w:val="20"/>
          <w:szCs w:val="20"/>
        </w:rPr>
        <w:t>，充分认识投资风险，谨慎投资。</w:t>
      </w:r>
    </w:p>
    <w:sectPr>
      <w:headerReference r:id="rId5" w:type="default"/>
      <w:footerReference r:id="rId6" w:type="default"/>
      <w:pgSz w:w="11907" w:h="16839"/>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黑体_GBK">
    <w:altName w:val="汉仪中黑KW"/>
    <w:panose1 w:val="00000000000000000000"/>
    <w:charset w:val="00"/>
    <w:family w:val="auto"/>
    <w:pitch w:val="default"/>
    <w:sig w:usb0="00000000" w:usb1="00000000" w:usb2="00000000" w:usb3="00000000" w:csb0="00000000" w:csb1="00000000"/>
  </w:font>
  <w:font w:name="Dialog">
    <w:altName w:val="Times New Roman"/>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E9E5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3FE5EB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3FE5EB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F377C">
    <w:pPr>
      <w:pStyle w:val="8"/>
      <w:jc w:val="right"/>
    </w:pPr>
    <w:r>
      <w:t>南银理财理财产品销售文件（2021第2版）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DF8CBA"/>
    <w:multiLevelType w:val="multilevel"/>
    <w:tmpl w:val="ADDF8CBA"/>
    <w:lvl w:ilvl="0" w:tentative="0">
      <w:start w:val="1"/>
      <w:numFmt w:val="chineseCountingThousand"/>
      <w:lvlText w:val="（%1）"/>
      <w:legacy w:legacy="1" w:legacySpace="0" w:legacyIndent="420"/>
      <w:lvlJc w:val="left"/>
      <w:pPr>
        <w:ind w:left="704" w:hanging="420"/>
      </w:pPr>
      <w:rPr>
        <w:rFonts w:hint="eastAsia" w:ascii="方正黑体_GBK" w:hAnsi="方正黑体_GBK" w:eastAsia="方正黑体_GBK"/>
        <w:b w:val="0"/>
        <w:bCs w:val="0"/>
      </w:rPr>
    </w:lvl>
    <w:lvl w:ilvl="1" w:tentative="0">
      <w:start w:val="1"/>
      <w:numFmt w:val="lowerLetter"/>
      <w:lvlText w:val="%2)"/>
      <w:legacy w:legacy="1" w:legacySpace="0" w:legacyIndent="420"/>
      <w:lvlJc w:val="left"/>
      <w:pPr>
        <w:ind w:left="1124" w:hanging="420"/>
      </w:pPr>
      <w:rPr>
        <w:rFonts w:hint="default" w:ascii="方正黑体_GBK" w:hAnsi="方正黑体_GBK" w:eastAsia="方正黑体_GBK"/>
      </w:rPr>
    </w:lvl>
    <w:lvl w:ilvl="2" w:tentative="0">
      <w:start w:val="1"/>
      <w:numFmt w:val="decimal"/>
      <w:lvlText w:val="%3."/>
      <w:legacy w:legacy="1" w:legacySpace="0" w:legacyIndent="420"/>
      <w:lvlJc w:val="right"/>
      <w:pPr>
        <w:ind w:left="1544" w:hanging="420"/>
      </w:pPr>
      <w:rPr>
        <w:rFonts w:hint="default" w:ascii="方正黑体_GBK" w:hAnsi="方正黑体_GBK" w:eastAsia="方正黑体_GBK"/>
      </w:rPr>
    </w:lvl>
    <w:lvl w:ilvl="3" w:tentative="0">
      <w:start w:val="1"/>
      <w:numFmt w:val="decimal"/>
      <w:lvlText w:val="%4."/>
      <w:legacy w:legacy="1" w:legacySpace="0" w:legacyIndent="420"/>
      <w:lvlJc w:val="left"/>
      <w:pPr>
        <w:ind w:left="1964" w:hanging="420"/>
      </w:pPr>
      <w:rPr>
        <w:rFonts w:hint="default" w:ascii="方正黑体_GBK" w:hAnsi="方正黑体_GBK" w:eastAsia="方正黑体_GBK"/>
      </w:rPr>
    </w:lvl>
    <w:lvl w:ilvl="4" w:tentative="0">
      <w:start w:val="1"/>
      <w:numFmt w:val="lowerLetter"/>
      <w:lvlText w:val="%5)"/>
      <w:legacy w:legacy="1" w:legacySpace="0" w:legacyIndent="420"/>
      <w:lvlJc w:val="left"/>
      <w:pPr>
        <w:ind w:left="2384" w:hanging="420"/>
      </w:pPr>
      <w:rPr>
        <w:rFonts w:hint="default" w:ascii="方正黑体_GBK" w:hAnsi="方正黑体_GBK" w:eastAsia="方正黑体_GBK"/>
      </w:rPr>
    </w:lvl>
    <w:lvl w:ilvl="5" w:tentative="0">
      <w:start w:val="1"/>
      <w:numFmt w:val="decimal"/>
      <w:lvlText w:val="%6."/>
      <w:legacy w:legacy="1" w:legacySpace="0" w:legacyIndent="420"/>
      <w:lvlJc w:val="right"/>
      <w:pPr>
        <w:ind w:left="2804" w:hanging="420"/>
      </w:pPr>
      <w:rPr>
        <w:rFonts w:hint="default" w:ascii="方正黑体_GBK" w:hAnsi="方正黑体_GBK" w:eastAsia="方正黑体_GBK"/>
      </w:rPr>
    </w:lvl>
    <w:lvl w:ilvl="6" w:tentative="0">
      <w:start w:val="1"/>
      <w:numFmt w:val="decimal"/>
      <w:lvlText w:val="%7."/>
      <w:legacy w:legacy="1" w:legacySpace="0" w:legacyIndent="420"/>
      <w:lvlJc w:val="left"/>
      <w:pPr>
        <w:ind w:left="3224" w:hanging="420"/>
      </w:pPr>
      <w:rPr>
        <w:rFonts w:hint="default" w:ascii="方正黑体_GBK" w:hAnsi="方正黑体_GBK" w:eastAsia="方正黑体_GBK"/>
      </w:rPr>
    </w:lvl>
    <w:lvl w:ilvl="7" w:tentative="0">
      <w:start w:val="1"/>
      <w:numFmt w:val="lowerLetter"/>
      <w:lvlText w:val="%8)"/>
      <w:legacy w:legacy="1" w:legacySpace="0" w:legacyIndent="420"/>
      <w:lvlJc w:val="left"/>
      <w:pPr>
        <w:ind w:left="3644" w:hanging="420"/>
      </w:pPr>
      <w:rPr>
        <w:rFonts w:hint="default" w:ascii="方正黑体_GBK" w:hAnsi="方正黑体_GBK" w:eastAsia="方正黑体_GBK"/>
      </w:rPr>
    </w:lvl>
    <w:lvl w:ilvl="8" w:tentative="0">
      <w:start w:val="1"/>
      <w:numFmt w:val="decimal"/>
      <w:lvlText w:val="%9."/>
      <w:legacy w:legacy="1" w:legacySpace="0" w:legacyIndent="420"/>
      <w:lvlJc w:val="right"/>
      <w:pPr>
        <w:ind w:left="4064" w:hanging="420"/>
      </w:pPr>
      <w:rPr>
        <w:rFonts w:hint="default" w:ascii="方正黑体_GBK" w:hAnsi="方正黑体_GBK" w:eastAsia="方正黑体_GBK"/>
      </w:rPr>
    </w:lvl>
  </w:abstractNum>
  <w:abstractNum w:abstractNumId="1">
    <w:nsid w:val="F9F81466"/>
    <w:multiLevelType w:val="multilevel"/>
    <w:tmpl w:val="F9F81466"/>
    <w:lvl w:ilvl="0" w:tentative="0">
      <w:start w:val="1"/>
      <w:numFmt w:val="decimal"/>
      <w:lvlText w:val="（%1）"/>
      <w:legacy w:legacy="1" w:legacySpace="0" w:legacyIndent="420"/>
      <w:lvlJc w:val="left"/>
      <w:pPr>
        <w:ind w:left="709" w:hanging="420"/>
      </w:pPr>
      <w:rPr>
        <w:rFonts w:hint="default" w:ascii="方正黑体_GBK" w:hAnsi="方正黑体_GBK" w:eastAsia="方正黑体_GBK" w:cs="Times New Roman"/>
      </w:rPr>
    </w:lvl>
    <w:lvl w:ilvl="1" w:tentative="0">
      <w:start w:val="1"/>
      <w:numFmt w:val="lowerLetter"/>
      <w:lvlText w:val="%2)"/>
      <w:legacy w:legacy="1" w:legacySpace="0" w:legacyIndent="420"/>
      <w:lvlJc w:val="left"/>
      <w:pPr>
        <w:ind w:left="1129" w:hanging="420"/>
      </w:pPr>
    </w:lvl>
    <w:lvl w:ilvl="2" w:tentative="0">
      <w:start w:val="1"/>
      <w:numFmt w:val="lowerRoman"/>
      <w:lvlText w:val="%3."/>
      <w:legacy w:legacy="1" w:legacySpace="0" w:legacyIndent="420"/>
      <w:lvlJc w:val="right"/>
      <w:pPr>
        <w:ind w:left="1549" w:hanging="420"/>
      </w:pPr>
    </w:lvl>
    <w:lvl w:ilvl="3" w:tentative="0">
      <w:start w:val="1"/>
      <w:numFmt w:val="decimal"/>
      <w:lvlText w:val="%4."/>
      <w:legacy w:legacy="1" w:legacySpace="0" w:legacyIndent="420"/>
      <w:lvlJc w:val="left"/>
      <w:pPr>
        <w:ind w:left="1969" w:hanging="420"/>
      </w:pPr>
    </w:lvl>
    <w:lvl w:ilvl="4" w:tentative="0">
      <w:start w:val="1"/>
      <w:numFmt w:val="lowerLetter"/>
      <w:lvlText w:val="%5)"/>
      <w:legacy w:legacy="1" w:legacySpace="0" w:legacyIndent="420"/>
      <w:lvlJc w:val="left"/>
      <w:pPr>
        <w:ind w:left="2389" w:hanging="420"/>
      </w:pPr>
    </w:lvl>
    <w:lvl w:ilvl="5" w:tentative="0">
      <w:start w:val="1"/>
      <w:numFmt w:val="lowerRoman"/>
      <w:lvlText w:val="%6."/>
      <w:legacy w:legacy="1" w:legacySpace="0" w:legacyIndent="420"/>
      <w:lvlJc w:val="right"/>
      <w:pPr>
        <w:ind w:left="2809" w:hanging="420"/>
      </w:pPr>
    </w:lvl>
    <w:lvl w:ilvl="6" w:tentative="0">
      <w:start w:val="1"/>
      <w:numFmt w:val="decimal"/>
      <w:lvlText w:val="%7."/>
      <w:legacy w:legacy="1" w:legacySpace="0" w:legacyIndent="420"/>
      <w:lvlJc w:val="left"/>
      <w:pPr>
        <w:ind w:left="3229" w:hanging="420"/>
      </w:pPr>
    </w:lvl>
    <w:lvl w:ilvl="7" w:tentative="0">
      <w:start w:val="1"/>
      <w:numFmt w:val="lowerLetter"/>
      <w:lvlText w:val="%8)"/>
      <w:legacy w:legacy="1" w:legacySpace="0" w:legacyIndent="420"/>
      <w:lvlJc w:val="left"/>
      <w:pPr>
        <w:ind w:left="3649" w:hanging="420"/>
      </w:pPr>
    </w:lvl>
    <w:lvl w:ilvl="8" w:tentative="0">
      <w:start w:val="1"/>
      <w:numFmt w:val="lowerRoman"/>
      <w:lvlText w:val="%9."/>
      <w:legacy w:legacy="1" w:legacySpace="0" w:legacyIndent="420"/>
      <w:lvlJc w:val="right"/>
      <w:pPr>
        <w:ind w:left="4069" w:hanging="420"/>
      </w:pPr>
    </w:lvl>
  </w:abstractNum>
  <w:abstractNum w:abstractNumId="2">
    <w:nsid w:val="FDFB6C51"/>
    <w:multiLevelType w:val="multilevel"/>
    <w:tmpl w:val="FDFB6C51"/>
    <w:lvl w:ilvl="0" w:tentative="0">
      <w:start w:val="1"/>
      <w:numFmt w:val="japaneseCounting"/>
      <w:lvlText w:val="（%1）"/>
      <w:lvlJc w:val="left"/>
      <w:pPr>
        <w:tabs>
          <w:tab w:val="left" w:pos="0"/>
        </w:tabs>
        <w:ind w:left="1021" w:hanging="720"/>
      </w:pPr>
      <w:rPr>
        <w:rFonts w:hint="default" w:ascii="方正黑体_GBK" w:hAnsi="方正黑体_GBK" w:eastAsia="方正黑体_GBK"/>
      </w:rPr>
    </w:lvl>
    <w:lvl w:ilvl="1" w:tentative="0">
      <w:start w:val="1"/>
      <w:numFmt w:val="lowerLetter"/>
      <w:lvlText w:val="%2)"/>
      <w:lvlJc w:val="left"/>
      <w:pPr>
        <w:tabs>
          <w:tab w:val="left" w:pos="0"/>
        </w:tabs>
        <w:ind w:left="1141" w:hanging="420"/>
      </w:pPr>
      <w:rPr>
        <w:rFonts w:hint="default" w:ascii="方正黑体_GBK" w:hAnsi="方正黑体_GBK" w:eastAsia="方正黑体_GBK"/>
      </w:rPr>
    </w:lvl>
    <w:lvl w:ilvl="2" w:tentative="0">
      <w:start w:val="1"/>
      <w:numFmt w:val="decimal"/>
      <w:lvlText w:val="%3."/>
      <w:lvlJc w:val="right"/>
      <w:pPr>
        <w:tabs>
          <w:tab w:val="left" w:pos="0"/>
        </w:tabs>
        <w:ind w:left="1561" w:hanging="420"/>
      </w:pPr>
      <w:rPr>
        <w:rFonts w:hint="default" w:ascii="方正黑体_GBK" w:hAnsi="方正黑体_GBK" w:eastAsia="方正黑体_GBK"/>
      </w:rPr>
    </w:lvl>
    <w:lvl w:ilvl="3" w:tentative="0">
      <w:start w:val="1"/>
      <w:numFmt w:val="decimal"/>
      <w:lvlText w:val="%4."/>
      <w:lvlJc w:val="left"/>
      <w:pPr>
        <w:tabs>
          <w:tab w:val="left" w:pos="0"/>
        </w:tabs>
        <w:ind w:left="1981" w:hanging="420"/>
      </w:pPr>
      <w:rPr>
        <w:rFonts w:hint="default" w:ascii="方正黑体_GBK" w:hAnsi="方正黑体_GBK" w:eastAsia="方正黑体_GBK"/>
      </w:rPr>
    </w:lvl>
    <w:lvl w:ilvl="4" w:tentative="0">
      <w:start w:val="1"/>
      <w:numFmt w:val="lowerLetter"/>
      <w:lvlText w:val="%5)"/>
      <w:lvlJc w:val="left"/>
      <w:pPr>
        <w:tabs>
          <w:tab w:val="left" w:pos="0"/>
        </w:tabs>
        <w:ind w:left="2401" w:hanging="420"/>
      </w:pPr>
      <w:rPr>
        <w:rFonts w:hint="default" w:ascii="方正黑体_GBK" w:hAnsi="方正黑体_GBK" w:eastAsia="方正黑体_GBK"/>
      </w:rPr>
    </w:lvl>
    <w:lvl w:ilvl="5" w:tentative="0">
      <w:start w:val="1"/>
      <w:numFmt w:val="decimal"/>
      <w:lvlText w:val="%6."/>
      <w:lvlJc w:val="right"/>
      <w:pPr>
        <w:tabs>
          <w:tab w:val="left" w:pos="0"/>
        </w:tabs>
        <w:ind w:left="2821" w:hanging="420"/>
      </w:pPr>
      <w:rPr>
        <w:rFonts w:hint="default" w:ascii="方正黑体_GBK" w:hAnsi="方正黑体_GBK" w:eastAsia="方正黑体_GBK"/>
      </w:rPr>
    </w:lvl>
    <w:lvl w:ilvl="6" w:tentative="0">
      <w:start w:val="1"/>
      <w:numFmt w:val="decimal"/>
      <w:lvlText w:val="%7."/>
      <w:lvlJc w:val="left"/>
      <w:pPr>
        <w:tabs>
          <w:tab w:val="left" w:pos="0"/>
        </w:tabs>
        <w:ind w:left="3241" w:hanging="420"/>
      </w:pPr>
      <w:rPr>
        <w:rFonts w:hint="default" w:ascii="方正黑体_GBK" w:hAnsi="方正黑体_GBK" w:eastAsia="方正黑体_GBK"/>
      </w:rPr>
    </w:lvl>
    <w:lvl w:ilvl="7" w:tentative="0">
      <w:start w:val="1"/>
      <w:numFmt w:val="lowerLetter"/>
      <w:lvlText w:val="%8)"/>
      <w:lvlJc w:val="left"/>
      <w:pPr>
        <w:tabs>
          <w:tab w:val="left" w:pos="0"/>
        </w:tabs>
        <w:ind w:left="3661" w:hanging="420"/>
      </w:pPr>
      <w:rPr>
        <w:rFonts w:hint="default" w:ascii="方正黑体_GBK" w:hAnsi="方正黑体_GBK" w:eastAsia="方正黑体_GBK"/>
      </w:rPr>
    </w:lvl>
    <w:lvl w:ilvl="8" w:tentative="0">
      <w:start w:val="1"/>
      <w:numFmt w:val="decimal"/>
      <w:lvlText w:val="%9."/>
      <w:lvlJc w:val="right"/>
      <w:pPr>
        <w:tabs>
          <w:tab w:val="left" w:pos="0"/>
        </w:tabs>
        <w:ind w:left="4081" w:hanging="420"/>
      </w:pPr>
      <w:rPr>
        <w:rFonts w:hint="default" w:ascii="方正黑体_GBK" w:hAnsi="方正黑体_GBK" w:eastAsia="方正黑体_GBK"/>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EF77EA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styleId="2">
    <w:name w:val="heading 1"/>
    <w:basedOn w:val="1"/>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styleId="3">
    <w:name w:val="heading 2"/>
    <w:basedOn w:val="1"/>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styleId="4">
    <w:name w:val="heading 3"/>
    <w:basedOn w:val="1"/>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default="1" w:styleId="13">
    <w:name w:val="Default Paragraph Font"/>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toc 5"/>
    <w:basedOn w:val="1"/>
    <w:next w:val="1"/>
    <w:autoRedefine/>
    <w:uiPriority w:val="0"/>
    <w:pPr>
      <w:ind w:left="1680"/>
    </w:pPr>
  </w:style>
  <w:style w:type="paragraph" w:styleId="6">
    <w:name w:val="toc 3"/>
    <w:basedOn w:val="1"/>
    <w:next w:val="1"/>
    <w:autoRedefine/>
    <w:uiPriority w:val="0"/>
    <w:pPr>
      <w:ind w:left="840"/>
    </w:pPr>
  </w:style>
  <w:style w:type="paragraph" w:styleId="7">
    <w:name w:val="footer"/>
    <w:basedOn w:val="1"/>
    <w:uiPriority w:val="0"/>
    <w:pPr>
      <w:tabs>
        <w:tab w:val="center" w:pos="4153"/>
        <w:tab w:val="right" w:pos="8307"/>
      </w:tabs>
      <w:adjustRightInd/>
      <w:snapToGrid w:val="0"/>
      <w:contextualSpacing w:val="0"/>
      <w:jc w:val="left"/>
    </w:pPr>
    <w:rPr>
      <w:sz w:val="18"/>
    </w:rPr>
  </w:style>
  <w:style w:type="paragraph" w:styleId="8">
    <w:name w:val="header"/>
    <w:basedOn w:val="1"/>
    <w:uiPriority w:val="0"/>
    <w:pPr>
      <w:pBdr>
        <w:bottom w:val="single" w:color="auto" w:sz="6" w:space="1"/>
      </w:pBdr>
      <w:tabs>
        <w:tab w:val="center" w:pos="4153"/>
        <w:tab w:val="right" w:pos="8307"/>
      </w:tabs>
      <w:adjustRightInd/>
      <w:snapToGrid w:val="0"/>
      <w:contextualSpacing w:val="0"/>
      <w:jc w:val="center"/>
    </w:pPr>
    <w:rPr>
      <w:sz w:val="18"/>
    </w:rPr>
  </w:style>
  <w:style w:type="paragraph" w:styleId="9">
    <w:name w:val="toc 1"/>
    <w:basedOn w:val="1"/>
    <w:next w:val="1"/>
    <w:autoRedefine/>
    <w:uiPriority w:val="0"/>
  </w:style>
  <w:style w:type="paragraph" w:styleId="10">
    <w:name w:val="toc 4"/>
    <w:basedOn w:val="1"/>
    <w:next w:val="1"/>
    <w:autoRedefine/>
    <w:uiPriority w:val="0"/>
    <w:pPr>
      <w:ind w:left="1260"/>
    </w:pPr>
  </w:style>
  <w:style w:type="paragraph" w:styleId="11">
    <w:name w:val="toc 2"/>
    <w:basedOn w:val="1"/>
    <w:next w:val="1"/>
    <w:autoRedefine/>
    <w:uiPriority w:val="0"/>
    <w:pPr>
      <w:ind w:left="420"/>
    </w:pPr>
  </w:style>
  <w:style w:type="character" w:styleId="14">
    <w:name w:val="Strong"/>
    <w:uiPriority w:val="0"/>
    <w:rPr>
      <w:b/>
    </w:rPr>
  </w:style>
  <w:style w:type="paragraph" w:customStyle="1" w:styleId="15">
    <w:name w:val="Normale1620a93"/>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16">
    <w:name w:val="heading 146448772"/>
    <w:basedOn w:val="15"/>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17">
    <w:name w:val="heading 2590989d2"/>
    <w:basedOn w:val="15"/>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18">
    <w:name w:val="heading 3a563097b"/>
    <w:basedOn w:val="15"/>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19">
    <w:name w:val="Default Paragraph Fontee00c028"/>
    <w:uiPriority w:val="0"/>
  </w:style>
  <w:style w:type="paragraph" w:customStyle="1" w:styleId="20">
    <w:name w:val="toc 1fc96769e"/>
    <w:basedOn w:val="15"/>
    <w:next w:val="1"/>
    <w:autoRedefine/>
    <w:uiPriority w:val="0"/>
  </w:style>
  <w:style w:type="paragraph" w:customStyle="1" w:styleId="21">
    <w:name w:val="toc 2684e8b43"/>
    <w:basedOn w:val="15"/>
    <w:next w:val="1"/>
    <w:autoRedefine/>
    <w:uiPriority w:val="0"/>
    <w:pPr>
      <w:ind w:left="420"/>
    </w:pPr>
  </w:style>
  <w:style w:type="paragraph" w:customStyle="1" w:styleId="22">
    <w:name w:val="toc 35c50c67c"/>
    <w:basedOn w:val="15"/>
    <w:next w:val="1"/>
    <w:autoRedefine/>
    <w:uiPriority w:val="0"/>
    <w:pPr>
      <w:ind w:left="840"/>
    </w:pPr>
  </w:style>
  <w:style w:type="paragraph" w:customStyle="1" w:styleId="23">
    <w:name w:val="toc 4da24bfd2"/>
    <w:basedOn w:val="15"/>
    <w:next w:val="1"/>
    <w:autoRedefine/>
    <w:uiPriority w:val="0"/>
    <w:pPr>
      <w:ind w:left="1260"/>
    </w:pPr>
  </w:style>
  <w:style w:type="paragraph" w:customStyle="1" w:styleId="24">
    <w:name w:val="toc 5f3fb2348"/>
    <w:basedOn w:val="15"/>
    <w:next w:val="1"/>
    <w:autoRedefine/>
    <w:uiPriority w:val="0"/>
    <w:pPr>
      <w:ind w:left="1680"/>
    </w:pPr>
  </w:style>
  <w:style w:type="paragraph" w:customStyle="1" w:styleId="25">
    <w:name w:val="header5d1ddcb2"/>
    <w:basedOn w:val="15"/>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26">
    <w:name w:val="footer3afddb96"/>
    <w:basedOn w:val="15"/>
    <w:uiPriority w:val="0"/>
    <w:pPr>
      <w:tabs>
        <w:tab w:val="center" w:pos="4153"/>
        <w:tab w:val="right" w:pos="8307"/>
      </w:tabs>
      <w:adjustRightInd/>
      <w:snapToGrid w:val="0"/>
      <w:contextualSpacing w:val="0"/>
      <w:jc w:val="left"/>
    </w:pPr>
    <w:rPr>
      <w:sz w:val="18"/>
    </w:rPr>
  </w:style>
  <w:style w:type="character" w:customStyle="1" w:styleId="27">
    <w:name w:val="Strong43b1bf11"/>
    <w:uiPriority w:val="0"/>
    <w:rPr>
      <w:b/>
    </w:rPr>
  </w:style>
  <w:style w:type="paragraph" w:customStyle="1" w:styleId="28">
    <w:name w:val="annotation text23"/>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29">
    <w:name w:val="Normalff810a12"/>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18"/>
      <w:szCs w:val="18"/>
      <w:u w:val="none" w:color="auto"/>
      <w:shd w:val="clear" w:color="auto" w:fill="auto"/>
      <w:vertAlign w:val="baseline"/>
      <w:lang w:val="en-US" w:eastAsia="zh-CN" w:bidi="ar-SA"/>
    </w:rPr>
  </w:style>
  <w:style w:type="paragraph" w:customStyle="1" w:styleId="30">
    <w:name w:val="heading 18aea0d83"/>
    <w:basedOn w:val="29"/>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31">
    <w:name w:val="heading 2a23a1455"/>
    <w:basedOn w:val="29"/>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32">
    <w:name w:val="heading 3c0012058"/>
    <w:basedOn w:val="29"/>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33">
    <w:name w:val="Default Paragraph Font60de0ea0"/>
    <w:uiPriority w:val="0"/>
  </w:style>
  <w:style w:type="paragraph" w:customStyle="1" w:styleId="34">
    <w:name w:val="Normal Indent03b7daa3"/>
    <w:basedOn w:val="29"/>
    <w:uiPriority w:val="0"/>
    <w:pPr>
      <w:ind w:firstLine="200" w:firstLineChars="200"/>
    </w:pPr>
  </w:style>
  <w:style w:type="paragraph" w:customStyle="1" w:styleId="35">
    <w:name w:val="toc 50d5fbd08"/>
    <w:basedOn w:val="29"/>
    <w:next w:val="1"/>
    <w:uiPriority w:val="0"/>
    <w:pPr>
      <w:ind w:left="1680"/>
    </w:pPr>
  </w:style>
  <w:style w:type="paragraph" w:customStyle="1" w:styleId="36">
    <w:name w:val="toc 3d71bbe53"/>
    <w:basedOn w:val="29"/>
    <w:next w:val="1"/>
    <w:uiPriority w:val="0"/>
    <w:pPr>
      <w:ind w:left="840"/>
    </w:pPr>
  </w:style>
  <w:style w:type="paragraph" w:customStyle="1" w:styleId="37">
    <w:name w:val="footer7030bb2d"/>
    <w:basedOn w:val="29"/>
    <w:uiPriority w:val="0"/>
    <w:pPr>
      <w:tabs>
        <w:tab w:val="center" w:pos="4153"/>
        <w:tab w:val="right" w:pos="8307"/>
      </w:tabs>
      <w:adjustRightInd/>
      <w:snapToGrid w:val="0"/>
      <w:contextualSpacing w:val="0"/>
      <w:jc w:val="left"/>
    </w:pPr>
    <w:rPr>
      <w:sz w:val="18"/>
    </w:rPr>
  </w:style>
  <w:style w:type="paragraph" w:customStyle="1" w:styleId="38">
    <w:name w:val="headerb64515f7"/>
    <w:basedOn w:val="29"/>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39">
    <w:name w:val="toc 186825baf"/>
    <w:basedOn w:val="29"/>
    <w:next w:val="1"/>
    <w:uiPriority w:val="0"/>
  </w:style>
  <w:style w:type="paragraph" w:customStyle="1" w:styleId="40">
    <w:name w:val="toc 4fa2c5261"/>
    <w:basedOn w:val="29"/>
    <w:next w:val="1"/>
    <w:uiPriority w:val="0"/>
    <w:pPr>
      <w:ind w:left="1260"/>
    </w:pPr>
  </w:style>
  <w:style w:type="paragraph" w:customStyle="1" w:styleId="41">
    <w:name w:val="toc 25cddc54e"/>
    <w:basedOn w:val="29"/>
    <w:next w:val="1"/>
    <w:uiPriority w:val="0"/>
    <w:pPr>
      <w:ind w:left="420"/>
    </w:pPr>
  </w:style>
  <w:style w:type="paragraph" w:customStyle="1" w:styleId="42">
    <w:name w:val="Normal (Web)d3cce561"/>
    <w:next w:val="8"/>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2" w:beforeAutospacing="0" w:after="102" w:afterAutospacing="0" w:line="1099" w:lineRule="atLeast"/>
      <w:ind w:left="0" w:right="0" w:firstLine="419"/>
      <w:contextualSpacing w:val="0"/>
      <w:jc w:val="left"/>
      <w:textAlignment w:val="baseline"/>
      <w:outlineLvl w:val="9"/>
    </w:pPr>
    <w:rPr>
      <w:rFonts w:ascii="方正黑体_GBK" w:hAnsi="方正黑体_GBK" w:eastAsia="方正黑体_GBK" w:cs="Times New Roman"/>
      <w:snapToGrid/>
      <w:color w:val="auto"/>
      <w:spacing w:val="0"/>
      <w:w w:val="100"/>
      <w:kern w:val="0"/>
      <w:position w:val="0"/>
      <w:sz w:val="24"/>
      <w:szCs w:val="24"/>
      <w:u w:val="none" w:color="auto"/>
      <w:shd w:val="clear" w:color="auto" w:fill="auto"/>
      <w:vertAlign w:val="baseline"/>
      <w:lang w:val="en-US" w:eastAsia="zh-CN" w:bidi="ar-SA"/>
    </w:rPr>
  </w:style>
  <w:style w:type="paragraph" w:customStyle="1" w:styleId="43">
    <w:name w:val="引文目录124"/>
    <w:next w:val="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200" w:leftChars="200" w:right="0" w:firstLine="0"/>
      <w:contextualSpacing w:val="0"/>
      <w:jc w:val="both"/>
      <w:textAlignment w:val="baseline"/>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4">
    <w:name w:val="Normal297db17e297db17e"/>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5">
    <w:name w:val="heading 1588d3aaf588d3aaf"/>
    <w:basedOn w:val="44"/>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46">
    <w:name w:val="heading 2e168fc44e168fc44"/>
    <w:basedOn w:val="44"/>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47">
    <w:name w:val="heading 33ad51a3b3ad51a3b"/>
    <w:basedOn w:val="44"/>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48">
    <w:name w:val="Default Paragraph Fontf81f59d1f81f59d1"/>
    <w:uiPriority w:val="0"/>
  </w:style>
  <w:style w:type="paragraph" w:customStyle="1" w:styleId="49">
    <w:name w:val="引文目录10d010b870d010b87"/>
    <w:basedOn w:val="44"/>
    <w:next w:val="1"/>
    <w:uiPriority w:val="0"/>
    <w:pPr>
      <w:ind w:left="200" w:leftChars="200"/>
    </w:pPr>
  </w:style>
  <w:style w:type="paragraph" w:customStyle="1" w:styleId="50">
    <w:name w:val="toc 579d3826d79d3826d"/>
    <w:basedOn w:val="44"/>
    <w:next w:val="1"/>
    <w:uiPriority w:val="0"/>
    <w:pPr>
      <w:ind w:left="1680"/>
    </w:pPr>
  </w:style>
  <w:style w:type="paragraph" w:customStyle="1" w:styleId="51">
    <w:name w:val="toc 36dcfb2966dcfb296"/>
    <w:basedOn w:val="44"/>
    <w:next w:val="1"/>
    <w:uiPriority w:val="0"/>
    <w:pPr>
      <w:ind w:left="840"/>
    </w:pPr>
  </w:style>
  <w:style w:type="paragraph" w:customStyle="1" w:styleId="52">
    <w:name w:val="footer5ab4cda95ab4cda9"/>
    <w:basedOn w:val="44"/>
    <w:uiPriority w:val="0"/>
    <w:pPr>
      <w:tabs>
        <w:tab w:val="center" w:pos="4153"/>
        <w:tab w:val="right" w:pos="8307"/>
      </w:tabs>
      <w:adjustRightInd/>
      <w:snapToGrid w:val="0"/>
      <w:contextualSpacing w:val="0"/>
      <w:jc w:val="left"/>
    </w:pPr>
    <w:rPr>
      <w:sz w:val="18"/>
    </w:rPr>
  </w:style>
  <w:style w:type="paragraph" w:customStyle="1" w:styleId="53">
    <w:name w:val="header848d60d1848d60d1"/>
    <w:basedOn w:val="44"/>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54">
    <w:name w:val="toc 1877ad076877ad076"/>
    <w:basedOn w:val="44"/>
    <w:next w:val="1"/>
    <w:uiPriority w:val="0"/>
  </w:style>
  <w:style w:type="paragraph" w:customStyle="1" w:styleId="55">
    <w:name w:val="toc 4f7a446a5f7a446a5"/>
    <w:basedOn w:val="44"/>
    <w:next w:val="1"/>
    <w:uiPriority w:val="0"/>
    <w:pPr>
      <w:ind w:left="1260"/>
    </w:pPr>
  </w:style>
  <w:style w:type="paragraph" w:customStyle="1" w:styleId="56">
    <w:name w:val="toc 2efcec0ffefcec0ff"/>
    <w:basedOn w:val="44"/>
    <w:next w:val="1"/>
    <w:uiPriority w:val="0"/>
    <w:pPr>
      <w:ind w:left="420"/>
    </w:pPr>
  </w:style>
  <w:style w:type="paragraph" w:customStyle="1" w:styleId="57">
    <w:name w:val="列出段落1a9a37ccfa9a37ccf"/>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34</Pages>
  <Words>5032</Words>
  <Characters>5046</Characters>
  <Lines>107</Lines>
  <Paragraphs>48</Paragraphs>
  <TotalTime>45</TotalTime>
  <ScaleCrop>false</ScaleCrop>
  <LinksUpToDate>false</LinksUpToDate>
  <CharactersWithSpaces>5047</CharactersWithSpaces>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2022-08-09T15:38:00Z</dcterms:created>
  <dc:creator>HP</dc:creator>
  <cp:lastModifiedBy>丁亮</cp:lastModifiedBy>
  <dcterms:modified xsi:type="dcterms:W3CDTF">2026-09-20T22:21:14Z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02AEF6DED8204361AEB85E71A6BDE641</vt:lpwstr>
  </property>
</Properties>
</file>