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2D34C">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148C2EA5">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7A27EB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75CEA8A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23ACB5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522B51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363655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767B1A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7257F58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5E16FB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59C585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w:t>
      </w:r>
      <w:bookmarkStart w:id="0" w:name="_GoBack"/>
      <w:bookmarkEnd w:id="0"/>
      <w:r>
        <w:rPr>
          <w:rFonts w:hint="eastAsia" w:ascii="方正黑体_GBK" w:hAnsi="方正黑体_GBK" w:eastAsia="方正黑体_GBK"/>
          <w:vanish w:val="0"/>
          <w:color w:val="3D3D3D"/>
          <w:kern w:val="0"/>
          <w:sz w:val="18"/>
          <w:szCs w:val="18"/>
        </w:rPr>
        <w:t>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318598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30E5C2D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2A8055B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50A198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0C88941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4A5BDC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3D7BF62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7B7CEE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6A8E08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00956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299547D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39DECF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114CB5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59EA5D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10ABEBE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0E9F0A08">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5292B1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585DF629">
      <w:pPr>
        <w:spacing w:line="240" w:lineRule="auto"/>
        <w:rPr>
          <w:sz w:val="28"/>
          <w:szCs w:val="28"/>
        </w:rPr>
      </w:pPr>
      <w:r>
        <w:rPr>
          <w:rFonts w:ascii="方正黑体_GBK" w:hAnsi="方正黑体_GBK" w:eastAsia="方正黑体_GBK" w:cs="宋体"/>
          <w:b/>
          <w:sz w:val="18"/>
          <w:szCs w:val="24"/>
        </w:rPr>
        <w:t xml:space="preserve">    1.债券类资产投资风险</w:t>
      </w:r>
    </w:p>
    <w:p w14:paraId="29A27B14">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5F414522">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0347A021">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16287BFF">
      <w:pPr>
        <w:spacing w:line="240" w:lineRule="auto"/>
        <w:rPr>
          <w:sz w:val="28"/>
          <w:szCs w:val="28"/>
        </w:rPr>
      </w:pPr>
      <w:r>
        <w:rPr>
          <w:rFonts w:ascii="方正黑体_GBK" w:hAnsi="方正黑体_GBK" w:eastAsia="方正黑体_GBK" w:cs="宋体"/>
          <w:b/>
          <w:sz w:val="18"/>
          <w:szCs w:val="24"/>
        </w:rPr>
        <w:t xml:space="preserve">    3.资产管理产品投资风险</w:t>
      </w:r>
    </w:p>
    <w:p w14:paraId="7153EAF8">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49CF3C5F">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488A44D2">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6A4600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3368F8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713BB548">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2C8D0665">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514B7E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2967519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76DC9A5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65D9421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16775AC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0BB5017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03FC8D0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3D8DBD0B">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0F00B1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56E5968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57DD288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643416C5">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07A97E8D">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5D372F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03638F4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758CD418">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AD4009D">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70344E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79FF566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3E25D19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3D6A63B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0039B92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09487D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0A2195EF">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5921A7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06A4A787">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02CC4B6E">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705EF3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6E509EE">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2D6E0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0CCA3D0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5395BE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0B409F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69A7865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FF7F4F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4B9044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08824DA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54C89196">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FD5A7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48ED2BFC">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97E21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4E3A1715">
      <w:pPr>
        <w:spacing w:line="240" w:lineRule="auto"/>
        <w:rPr>
          <w:sz w:val="28"/>
          <w:szCs w:val="28"/>
        </w:rPr>
      </w:pPr>
      <w:r>
        <w:rPr>
          <w:rFonts w:ascii="方正黑体_GBK" w:hAnsi="方正黑体_GBK" w:eastAsia="方正黑体_GBK"/>
          <w:sz w:val="28"/>
          <w:szCs w:val="28"/>
        </w:rPr>
        <w:br w:type="page"/>
      </w:r>
    </w:p>
    <w:p w14:paraId="6178804D">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5938849A">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5ED73FDC">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50477975">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327BB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71966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南银理财珠联璧合鑫逸稳半年186期封闭式公募人民币理财产品</w:t>
            </w:r>
          </w:p>
        </w:tc>
      </w:tr>
      <w:tr w14:paraId="7FEE564C">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674D5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7486A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0C64F985">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46F48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4A20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1A7E246F">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0BF4D3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3555E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ZZ700322600200</w:t>
            </w:r>
          </w:p>
        </w:tc>
      </w:tr>
      <w:tr w14:paraId="53542DE1">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C40BB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5E017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Z7003226000188(投资者可依据该编码在中国理财网www.chinawealth.com.cn查询理财产品相关信息）</w:t>
            </w:r>
          </w:p>
        </w:tc>
      </w:tr>
      <w:tr w14:paraId="08C8A79E">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6E0BC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4E485C92">
            <w:pPr>
              <w:spacing w:line="240" w:lineRule="auto"/>
              <w:rPr>
                <w:sz w:val="28"/>
                <w:szCs w:val="28"/>
              </w:rPr>
            </w:pPr>
            <w:r>
              <w:rPr>
                <w:rFonts w:ascii="方正黑体_GBK" w:hAnsi="方正黑体_GBK" w:eastAsia="方正黑体_GBK" w:cs="宋体"/>
                <w:sz w:val="22"/>
                <w:szCs w:val="22"/>
              </w:rPr>
              <w:t>A份额：NYXY001069</w:t>
            </w:r>
          </w:p>
          <w:p w14:paraId="72B171BC">
            <w:pPr>
              <w:spacing w:line="240" w:lineRule="auto"/>
              <w:rPr>
                <w:sz w:val="28"/>
                <w:szCs w:val="28"/>
              </w:rPr>
            </w:pPr>
            <w:r>
              <w:rPr>
                <w:rFonts w:ascii="方正黑体_GBK" w:hAnsi="方正黑体_GBK" w:eastAsia="方正黑体_GBK" w:cs="宋体"/>
                <w:sz w:val="22"/>
                <w:szCs w:val="22"/>
              </w:rPr>
              <w:t>B份额：NYXY001070</w:t>
            </w:r>
          </w:p>
          <w:p w14:paraId="11E99D4B">
            <w:pPr>
              <w:spacing w:line="240" w:lineRule="auto"/>
              <w:rPr>
                <w:sz w:val="28"/>
                <w:szCs w:val="28"/>
              </w:rPr>
            </w:pPr>
            <w:r>
              <w:rPr>
                <w:rFonts w:ascii="方正黑体_GBK" w:hAnsi="方正黑体_GBK" w:eastAsia="方正黑体_GBK" w:cs="宋体"/>
                <w:sz w:val="22"/>
                <w:szCs w:val="22"/>
              </w:rPr>
              <w:t>C份额：NYXY001071</w:t>
            </w:r>
          </w:p>
          <w:p w14:paraId="608F467F">
            <w:pPr>
              <w:spacing w:line="240" w:lineRule="auto"/>
              <w:rPr>
                <w:sz w:val="28"/>
                <w:szCs w:val="28"/>
              </w:rPr>
            </w:pPr>
            <w:r>
              <w:rPr>
                <w:rFonts w:ascii="方正黑体_GBK" w:hAnsi="方正黑体_GBK" w:eastAsia="方正黑体_GBK" w:cs="宋体"/>
                <w:sz w:val="22"/>
                <w:szCs w:val="22"/>
              </w:rPr>
              <w:t>F份额：NYXY001160</w:t>
            </w:r>
          </w:p>
          <w:p w14:paraId="0A50ED86">
            <w:pPr>
              <w:spacing w:line="240" w:lineRule="auto"/>
              <w:rPr>
                <w:sz w:val="28"/>
                <w:szCs w:val="28"/>
              </w:rPr>
            </w:pPr>
            <w:r>
              <w:rPr>
                <w:rFonts w:ascii="方正黑体_GBK" w:hAnsi="方正黑体_GBK" w:eastAsia="方正黑体_GBK" w:cs="宋体"/>
                <w:sz w:val="22"/>
                <w:szCs w:val="22"/>
              </w:rPr>
              <w:t>J份额：NYXY001072</w:t>
            </w:r>
          </w:p>
          <w:p w14:paraId="7C5F80E0">
            <w:pPr>
              <w:spacing w:line="240" w:lineRule="auto"/>
              <w:rPr>
                <w:sz w:val="28"/>
                <w:szCs w:val="28"/>
              </w:rPr>
            </w:pPr>
            <w:r>
              <w:rPr>
                <w:rFonts w:ascii="方正黑体_GBK" w:hAnsi="方正黑体_GBK" w:eastAsia="方正黑体_GBK" w:cs="宋体"/>
                <w:sz w:val="22"/>
                <w:szCs w:val="22"/>
              </w:rPr>
              <w:t>L份额：NYXY001073</w:t>
            </w:r>
          </w:p>
          <w:p w14:paraId="05C532A8">
            <w:pPr>
              <w:spacing w:line="240" w:lineRule="auto"/>
              <w:rPr>
                <w:sz w:val="28"/>
                <w:szCs w:val="28"/>
              </w:rPr>
            </w:pPr>
            <w:r>
              <w:rPr>
                <w:rFonts w:ascii="方正黑体_GBK" w:hAnsi="方正黑体_GBK" w:eastAsia="方正黑体_GBK" w:cs="宋体"/>
                <w:sz w:val="22"/>
                <w:szCs w:val="22"/>
              </w:rPr>
              <w:t>B2份额：NYXY001162</w:t>
            </w:r>
          </w:p>
          <w:p w14:paraId="39837F2F">
            <w:pPr>
              <w:spacing w:line="240" w:lineRule="auto"/>
              <w:rPr>
                <w:sz w:val="28"/>
                <w:szCs w:val="28"/>
              </w:rPr>
            </w:pPr>
            <w:r>
              <w:rPr>
                <w:rFonts w:ascii="方正黑体_GBK" w:hAnsi="方正黑体_GBK" w:eastAsia="方正黑体_GBK" w:cs="宋体"/>
                <w:sz w:val="22"/>
                <w:szCs w:val="22"/>
              </w:rPr>
              <w:t>C2份额：NYXY001163</w:t>
            </w:r>
          </w:p>
          <w:p w14:paraId="22F72E06">
            <w:pPr>
              <w:spacing w:line="240" w:lineRule="auto"/>
              <w:rPr>
                <w:sz w:val="28"/>
                <w:szCs w:val="28"/>
              </w:rPr>
            </w:pPr>
            <w:r>
              <w:rPr>
                <w:rFonts w:ascii="方正黑体_GBK" w:hAnsi="方正黑体_GBK" w:eastAsia="方正黑体_GBK" w:cs="宋体"/>
                <w:sz w:val="22"/>
                <w:szCs w:val="22"/>
              </w:rPr>
              <w:t>D2份额：NYXY001240</w:t>
            </w:r>
          </w:p>
          <w:p w14:paraId="3544B73A">
            <w:pPr>
              <w:spacing w:line="240" w:lineRule="auto"/>
              <w:rPr>
                <w:sz w:val="28"/>
                <w:szCs w:val="28"/>
              </w:rPr>
            </w:pPr>
            <w:r>
              <w:rPr>
                <w:rFonts w:ascii="方正黑体_GBK" w:hAnsi="方正黑体_GBK" w:eastAsia="方正黑体_GBK" w:cs="宋体"/>
                <w:sz w:val="22"/>
                <w:szCs w:val="22"/>
              </w:rPr>
              <w:t>Q份额：NYXY001074</w:t>
            </w:r>
          </w:p>
          <w:p w14:paraId="1C47DDBF">
            <w:pPr>
              <w:spacing w:line="240" w:lineRule="auto"/>
              <w:rPr>
                <w:sz w:val="28"/>
                <w:szCs w:val="28"/>
              </w:rPr>
            </w:pPr>
            <w:r>
              <w:rPr>
                <w:rFonts w:ascii="方正黑体_GBK" w:hAnsi="方正黑体_GBK" w:eastAsia="方正黑体_GBK" w:cs="宋体"/>
                <w:sz w:val="22"/>
                <w:szCs w:val="22"/>
              </w:rPr>
              <w:t>Q2份额：NYXY001161</w:t>
            </w:r>
          </w:p>
          <w:p w14:paraId="4985AD01">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314B716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BF3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12A8A073">
            <w:pPr>
              <w:spacing w:line="240" w:lineRule="auto"/>
              <w:rPr>
                <w:sz w:val="28"/>
                <w:szCs w:val="28"/>
              </w:rPr>
            </w:pPr>
            <w:r>
              <w:rPr>
                <w:rFonts w:ascii="方正黑体_GBK" w:hAnsi="方正黑体_GBK" w:eastAsia="方正黑体_GBK" w:cs="宋体"/>
                <w:sz w:val="22"/>
                <w:szCs w:val="22"/>
              </w:rPr>
              <w:t>全国</w:t>
            </w:r>
          </w:p>
        </w:tc>
      </w:tr>
      <w:tr w14:paraId="5FE59B69">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1A1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1353250D">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2B08AF0B">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B87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2B53F0F7">
            <w:pPr>
              <w:spacing w:line="240" w:lineRule="auto"/>
              <w:rPr>
                <w:sz w:val="28"/>
                <w:szCs w:val="28"/>
              </w:rPr>
            </w:pPr>
            <w:r>
              <w:rPr>
                <w:rFonts w:ascii="方正黑体_GBK" w:hAnsi="方正黑体_GBK" w:eastAsia="方正黑体_GBK" w:cs="宋体"/>
                <w:sz w:val="22"/>
                <w:szCs w:val="22"/>
              </w:rPr>
              <w:t>本理财产品规模上限为100亿元。</w:t>
            </w:r>
          </w:p>
        </w:tc>
      </w:tr>
      <w:tr w14:paraId="1DA3939C">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682E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251DF480">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158EB2AC">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6B8B6122">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F4F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1E63595">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5B5536B4">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代发薪客户和新资金客户外的其他客户）、蒙商银行股份有限公司（除财富客户外的其他客户）、广州农村商业银行股份有限公司、苏州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amu增量等于0客户）、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除临界客户外的其他客户）、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16CB07C2">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温州银行股份有限公司、江苏张家港农村商业银行股份有限公司、浙江民泰商业银行股份有限公司、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山西银行股份有限公司（aum增量大于5万元小于15万元客户）、兰州银行股份有限公司、甘肃银行股份有限公司、东营银行股份有限公司、桂林银行股份有限公司（财富客户）、石嘴山银行股份有限公司（财富客户）、永丰银行(中国)有限公司、江苏高淳农村商业银行股份有限公司、江苏新沂农村商业银行股份有限公司（1元起购）、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4630BD3F">
            <w:pPr>
              <w:spacing w:line="240" w:lineRule="auto"/>
              <w:rPr>
                <w:sz w:val="28"/>
                <w:szCs w:val="28"/>
              </w:rPr>
            </w:pPr>
            <w:r>
              <w:rPr>
                <w:rFonts w:ascii="方正黑体_GBK" w:hAnsi="方正黑体_GBK" w:eastAsia="方正黑体_GBK" w:cs="宋体"/>
                <w:sz w:val="22"/>
                <w:szCs w:val="22"/>
              </w:rPr>
              <w:t>C份额：南京银行股份有限公司(对公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扬州农村商业银行股份有限公司（临界客户）、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5C83B07A">
            <w:pPr>
              <w:spacing w:line="240" w:lineRule="auto"/>
              <w:rPr>
                <w:sz w:val="28"/>
                <w:szCs w:val="28"/>
              </w:rPr>
            </w:pPr>
            <w:r>
              <w:rPr>
                <w:rFonts w:ascii="方正黑体_GBK" w:hAnsi="方正黑体_GBK" w:eastAsia="方正黑体_GBK" w:cs="宋体"/>
                <w:sz w:val="22"/>
                <w:szCs w:val="22"/>
              </w:rPr>
              <w:t>F份额：兴业银行股份有限公司。</w:t>
            </w:r>
          </w:p>
          <w:p w14:paraId="3D49F389">
            <w:pPr>
              <w:spacing w:line="240" w:lineRule="auto"/>
              <w:rPr>
                <w:sz w:val="28"/>
                <w:szCs w:val="28"/>
              </w:rPr>
            </w:pPr>
            <w:r>
              <w:rPr>
                <w:rFonts w:ascii="方正黑体_GBK" w:hAnsi="方正黑体_GBK" w:eastAsia="方正黑体_GBK" w:cs="宋体"/>
                <w:sz w:val="22"/>
                <w:szCs w:val="22"/>
              </w:rPr>
              <w:t>J份额：昆山鹿城村镇银行股份有限公司。</w:t>
            </w:r>
          </w:p>
          <w:p w14:paraId="5EEB79ED">
            <w:pPr>
              <w:spacing w:line="240" w:lineRule="auto"/>
              <w:rPr>
                <w:sz w:val="28"/>
                <w:szCs w:val="28"/>
              </w:rPr>
            </w:pPr>
            <w:r>
              <w:rPr>
                <w:rFonts w:ascii="方正黑体_GBK" w:hAnsi="方正黑体_GBK" w:eastAsia="方正黑体_GBK" w:cs="宋体"/>
                <w:sz w:val="22"/>
                <w:szCs w:val="22"/>
              </w:rPr>
              <w:t>L份额：天津农村商业银行股份有限公司(私钻客户)、江苏姜堰农村商业银行股份有限公司（代发客户）。</w:t>
            </w:r>
          </w:p>
          <w:p w14:paraId="6DB6547F">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1AB77C93">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14FAF296">
            <w:pPr>
              <w:spacing w:line="240" w:lineRule="auto"/>
              <w:rPr>
                <w:sz w:val="28"/>
                <w:szCs w:val="28"/>
              </w:rPr>
            </w:pPr>
            <w:r>
              <w:rPr>
                <w:rFonts w:ascii="方正黑体_GBK" w:hAnsi="方正黑体_GBK" w:eastAsia="方正黑体_GBK" w:cs="宋体"/>
                <w:sz w:val="22"/>
                <w:szCs w:val="22"/>
              </w:rPr>
              <w:t>D2份额：海南农村商业银行股份有限公司。</w:t>
            </w:r>
          </w:p>
          <w:p w14:paraId="5661DEDF">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4E2A7770">
            <w:pPr>
              <w:spacing w:line="240" w:lineRule="auto"/>
              <w:rPr>
                <w:sz w:val="28"/>
                <w:szCs w:val="28"/>
              </w:rPr>
            </w:pPr>
            <w:r>
              <w:rPr>
                <w:rFonts w:ascii="方正黑体_GBK" w:hAnsi="方正黑体_GBK" w:eastAsia="方正黑体_GBK" w:cs="宋体"/>
                <w:sz w:val="22"/>
                <w:szCs w:val="22"/>
              </w:rPr>
              <w:t>Q2份额：中国银行股份有限公司。</w:t>
            </w:r>
          </w:p>
          <w:p w14:paraId="0B00CD36">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6FF2DE66">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34DC0A26">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AB0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5275582D">
            <w:pPr>
              <w:spacing w:line="240" w:lineRule="auto"/>
              <w:rPr>
                <w:sz w:val="28"/>
                <w:szCs w:val="28"/>
              </w:rPr>
            </w:pPr>
            <w:r>
              <w:rPr>
                <w:rFonts w:ascii="方正黑体_GBK" w:hAnsi="方正黑体_GBK" w:eastAsia="方正黑体_GBK" w:cs="宋体"/>
                <w:sz w:val="22"/>
                <w:szCs w:val="22"/>
              </w:rPr>
              <w:t>A份额/B份额/C份额/F份额/J份额/L份额/B2份额/C2份额/D2份额/Q份额/Q2份额：</w:t>
            </w:r>
          </w:p>
          <w:p w14:paraId="34B498E0">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5AF35151">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2C8E0FE5">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2E7244">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1D9BC9DB">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29829B52">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339130B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C57CF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5F87D481">
            <w:pPr>
              <w:spacing w:line="240" w:lineRule="auto"/>
              <w:jc w:val="left"/>
              <w:rPr>
                <w:sz w:val="28"/>
                <w:szCs w:val="28"/>
              </w:rPr>
            </w:pPr>
            <w:r>
              <w:rPr>
                <w:rFonts w:ascii="方正黑体_GBK" w:hAnsi="方正黑体_GBK" w:eastAsia="方正黑体_GBK" w:cs="宋体"/>
                <w:color w:val="000000"/>
                <w:sz w:val="22"/>
                <w:szCs w:val="22"/>
              </w:rPr>
              <w:t>2026年06月24日 09:00—2026年06月30日 17:00</w:t>
            </w:r>
          </w:p>
        </w:tc>
      </w:tr>
      <w:tr w14:paraId="1FB2377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3707CAC">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48717746">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10A961F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ADA5FB">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771FA867">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3E696F0">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51EB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763E616E">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2026年07月01日</w:t>
            </w:r>
          </w:p>
        </w:tc>
      </w:tr>
      <w:tr w14:paraId="27F9121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273A8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60BC21CC">
            <w:pPr>
              <w:spacing w:line="240" w:lineRule="auto"/>
              <w:rPr>
                <w:sz w:val="28"/>
                <w:szCs w:val="28"/>
              </w:rPr>
            </w:pPr>
            <w:r>
              <w:rPr>
                <w:rFonts w:ascii="方正黑体_GBK" w:hAnsi="方正黑体_GBK" w:eastAsia="方正黑体_GBK" w:cs="宋体"/>
                <w:sz w:val="22"/>
                <w:szCs w:val="22"/>
              </w:rPr>
              <w:t>2026年07月01日—实际到期日（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14B29998">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198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43F48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2027年01月13日</w:t>
            </w:r>
          </w:p>
        </w:tc>
      </w:tr>
      <w:tr w14:paraId="3A1CC369">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43D9E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C684DEC">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27F303D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0707B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0F85888C">
            <w:pPr>
              <w:spacing w:line="240" w:lineRule="auto"/>
              <w:rPr>
                <w:sz w:val="28"/>
                <w:szCs w:val="28"/>
              </w:rPr>
            </w:pPr>
            <w:r>
              <w:rPr>
                <w:rFonts w:ascii="方正黑体_GBK" w:hAnsi="方正黑体_GBK" w:eastAsia="方正黑体_GBK" w:cs="宋体"/>
                <w:sz w:val="22"/>
                <w:szCs w:val="22"/>
              </w:rPr>
              <w:t>本理财产品存续期间不进行分红。</w:t>
            </w:r>
          </w:p>
          <w:p w14:paraId="68B3A06E">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7F3BC01F">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AFA0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0655E8C4">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7DBBFADB">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519B9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3BBE28D1">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4B5EF790">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5A5A4863">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7543851B">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33E4E071">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22A5E7AE">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69558E51">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7655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3EA26B56">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0231BD57">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1F6989A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940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6B9961F5">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5D814277">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67E5D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2C5FC8DA">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8EC7179">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7630B3C0">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2F25D72F">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12C0626C">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737C4158">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3EDE85AF">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7B2F18B3">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5C8DA644">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0A7B1AA3">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14CF6FC8">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505A54E7">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5EE4D9B0">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29F6CABA">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46C83517">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5C995523">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20AB9580">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556682CC">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14B22B4C">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5C094453">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5571A29C">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44407E33">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390EF27B">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572A9195">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5C0CB269">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410C6C1A">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426A7D64">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4BFF0D80">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0CA7D476">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506E898F">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7CC996E0">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325BBC3A">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47406277">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492BD6B5">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5CF3176E">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0EDB8880">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7E23527A">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3EE0A4AF">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17F8E31A">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07A7182F">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7D16CF5F">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3EAE8D71">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0E3C4F51">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2EA2DF75">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484FAA24">
            <w:pPr>
              <w:spacing w:line="240" w:lineRule="auto"/>
              <w:rPr>
                <w:sz w:val="28"/>
                <w:szCs w:val="28"/>
              </w:rPr>
            </w:pPr>
            <w:r>
              <w:rPr>
                <w:rFonts w:ascii="方正黑体_GBK" w:hAnsi="方正黑体_GBK" w:eastAsia="方正黑体_GBK" w:cs="宋体"/>
                <w:b/>
                <w:sz w:val="22"/>
                <w:szCs w:val="22"/>
              </w:rPr>
              <w:t>以上资产剩余期限均不超过产品期限。</w:t>
            </w:r>
          </w:p>
          <w:p w14:paraId="2CC37CA4">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712D875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B63A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16EF1085">
            <w:pPr>
              <w:spacing w:line="240" w:lineRule="auto"/>
              <w:rPr>
                <w:sz w:val="28"/>
                <w:szCs w:val="28"/>
              </w:rPr>
            </w:pPr>
            <w:r>
              <w:rPr>
                <w:rFonts w:ascii="方正黑体_GBK" w:hAnsi="方正黑体_GBK" w:eastAsia="方正黑体_GBK" w:cs="宋体"/>
                <w:sz w:val="22"/>
                <w:szCs w:val="22"/>
              </w:rPr>
              <w:t>A份额：业绩比较基准为1.9%(年化)。</w:t>
            </w:r>
          </w:p>
          <w:p w14:paraId="0BD59DDF">
            <w:pPr>
              <w:spacing w:line="240" w:lineRule="auto"/>
              <w:rPr>
                <w:sz w:val="28"/>
                <w:szCs w:val="28"/>
              </w:rPr>
            </w:pPr>
            <w:r>
              <w:rPr>
                <w:rFonts w:ascii="方正黑体_GBK" w:hAnsi="方正黑体_GBK" w:eastAsia="方正黑体_GBK" w:cs="宋体"/>
                <w:sz w:val="22"/>
                <w:szCs w:val="22"/>
              </w:rPr>
              <w:t>B份额：业绩比较基准为2%(年化)。</w:t>
            </w:r>
          </w:p>
          <w:p w14:paraId="59C60729">
            <w:pPr>
              <w:spacing w:line="240" w:lineRule="auto"/>
              <w:rPr>
                <w:sz w:val="28"/>
                <w:szCs w:val="28"/>
              </w:rPr>
            </w:pPr>
            <w:r>
              <w:rPr>
                <w:rFonts w:ascii="方正黑体_GBK" w:hAnsi="方正黑体_GBK" w:eastAsia="方正黑体_GBK" w:cs="宋体"/>
                <w:sz w:val="22"/>
                <w:szCs w:val="22"/>
              </w:rPr>
              <w:t>C份额：业绩比较基准为2.1%(年化)。</w:t>
            </w:r>
          </w:p>
          <w:p w14:paraId="23B2F3BB">
            <w:pPr>
              <w:spacing w:line="240" w:lineRule="auto"/>
              <w:rPr>
                <w:sz w:val="28"/>
                <w:szCs w:val="28"/>
              </w:rPr>
            </w:pPr>
            <w:r>
              <w:rPr>
                <w:rFonts w:ascii="方正黑体_GBK" w:hAnsi="方正黑体_GBK" w:eastAsia="方正黑体_GBK" w:cs="宋体"/>
                <w:sz w:val="22"/>
                <w:szCs w:val="22"/>
              </w:rPr>
              <w:t>F份额：业绩比较基准为2%(年化)。</w:t>
            </w:r>
          </w:p>
          <w:p w14:paraId="006B4201">
            <w:pPr>
              <w:spacing w:line="240" w:lineRule="auto"/>
              <w:rPr>
                <w:sz w:val="28"/>
                <w:szCs w:val="28"/>
              </w:rPr>
            </w:pPr>
            <w:r>
              <w:rPr>
                <w:rFonts w:ascii="方正黑体_GBK" w:hAnsi="方正黑体_GBK" w:eastAsia="方正黑体_GBK" w:cs="宋体"/>
                <w:sz w:val="22"/>
                <w:szCs w:val="22"/>
              </w:rPr>
              <w:t>J份额：业绩比较基准为1.9%(年化)。</w:t>
            </w:r>
          </w:p>
          <w:p w14:paraId="466E1938">
            <w:pPr>
              <w:spacing w:line="240" w:lineRule="auto"/>
              <w:rPr>
                <w:sz w:val="28"/>
                <w:szCs w:val="28"/>
              </w:rPr>
            </w:pPr>
            <w:r>
              <w:rPr>
                <w:rFonts w:ascii="方正黑体_GBK" w:hAnsi="方正黑体_GBK" w:eastAsia="方正黑体_GBK" w:cs="宋体"/>
                <w:sz w:val="22"/>
                <w:szCs w:val="22"/>
              </w:rPr>
              <w:t>L份额：业绩比较基准为2.15%(年化)。</w:t>
            </w:r>
          </w:p>
          <w:p w14:paraId="37F33789">
            <w:pPr>
              <w:spacing w:line="240" w:lineRule="auto"/>
              <w:rPr>
                <w:sz w:val="28"/>
                <w:szCs w:val="28"/>
              </w:rPr>
            </w:pPr>
            <w:r>
              <w:rPr>
                <w:rFonts w:ascii="方正黑体_GBK" w:hAnsi="方正黑体_GBK" w:eastAsia="方正黑体_GBK" w:cs="宋体"/>
                <w:sz w:val="22"/>
                <w:szCs w:val="22"/>
              </w:rPr>
              <w:t>B2份额：业绩比较基准为1.95%(年化)。</w:t>
            </w:r>
          </w:p>
          <w:p w14:paraId="2C011CCA">
            <w:pPr>
              <w:spacing w:line="240" w:lineRule="auto"/>
              <w:rPr>
                <w:sz w:val="28"/>
                <w:szCs w:val="28"/>
              </w:rPr>
            </w:pPr>
            <w:r>
              <w:rPr>
                <w:rFonts w:ascii="方正黑体_GBK" w:hAnsi="方正黑体_GBK" w:eastAsia="方正黑体_GBK" w:cs="宋体"/>
                <w:sz w:val="22"/>
                <w:szCs w:val="22"/>
              </w:rPr>
              <w:t>C2份额：业绩比较基准为2.05%(年化)。</w:t>
            </w:r>
          </w:p>
          <w:p w14:paraId="142D7794">
            <w:pPr>
              <w:spacing w:line="240" w:lineRule="auto"/>
              <w:rPr>
                <w:sz w:val="28"/>
                <w:szCs w:val="28"/>
              </w:rPr>
            </w:pPr>
            <w:r>
              <w:rPr>
                <w:rFonts w:ascii="方正黑体_GBK" w:hAnsi="方正黑体_GBK" w:eastAsia="方正黑体_GBK" w:cs="宋体"/>
                <w:sz w:val="22"/>
                <w:szCs w:val="22"/>
              </w:rPr>
              <w:t>D2份额：业绩比较基准为2.15%(年化)。</w:t>
            </w:r>
          </w:p>
          <w:p w14:paraId="0476FD2C">
            <w:pPr>
              <w:spacing w:line="240" w:lineRule="auto"/>
              <w:rPr>
                <w:sz w:val="28"/>
                <w:szCs w:val="28"/>
              </w:rPr>
            </w:pPr>
            <w:r>
              <w:rPr>
                <w:rFonts w:ascii="方正黑体_GBK" w:hAnsi="方正黑体_GBK" w:eastAsia="方正黑体_GBK" w:cs="宋体"/>
                <w:sz w:val="22"/>
                <w:szCs w:val="22"/>
              </w:rPr>
              <w:t>Q份额：业绩比较基准为2.05%(年化)。</w:t>
            </w:r>
          </w:p>
          <w:p w14:paraId="6C9FD0D9">
            <w:pPr>
              <w:spacing w:line="240" w:lineRule="auto"/>
              <w:rPr>
                <w:sz w:val="28"/>
                <w:szCs w:val="28"/>
              </w:rPr>
            </w:pPr>
            <w:r>
              <w:rPr>
                <w:rFonts w:ascii="方正黑体_GBK" w:hAnsi="方正黑体_GBK" w:eastAsia="方正黑体_GBK" w:cs="宋体"/>
                <w:sz w:val="22"/>
                <w:szCs w:val="22"/>
              </w:rPr>
              <w:t>Q2份额：业绩比较基准为2.1%(年化)。</w:t>
            </w:r>
          </w:p>
          <w:p w14:paraId="616D2247">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74AB09CE">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3C5075C9">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2702163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5C9B82">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5A6D83A1">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05CF60AC">
            <w:pPr>
              <w:spacing w:line="240" w:lineRule="auto"/>
              <w:rPr>
                <w:sz w:val="28"/>
                <w:szCs w:val="28"/>
              </w:rPr>
            </w:pPr>
            <w:r>
              <w:rPr>
                <w:rFonts w:ascii="方正黑体_GBK" w:hAnsi="方正黑体_GBK" w:eastAsia="方正黑体_GBK" w:cs="宋体"/>
                <w:b/>
                <w:sz w:val="22"/>
                <w:szCs w:val="22"/>
              </w:rPr>
              <w:t>赎回费：本理财产品暂不收取赎回费。</w:t>
            </w:r>
          </w:p>
          <w:p w14:paraId="751F21A6">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309BD3A9">
            <w:pPr>
              <w:spacing w:line="240" w:lineRule="auto"/>
              <w:rPr>
                <w:sz w:val="28"/>
                <w:szCs w:val="28"/>
              </w:rPr>
            </w:pPr>
            <w:r>
              <w:rPr>
                <w:rFonts w:ascii="方正黑体_GBK" w:hAnsi="方正黑体_GBK" w:eastAsia="方正黑体_GBK" w:cs="宋体"/>
                <w:b/>
                <w:sz w:val="22"/>
                <w:szCs w:val="22"/>
              </w:rPr>
              <w:t>A份额：销售费年化0.2%</w:t>
            </w:r>
          </w:p>
          <w:p w14:paraId="094772F4">
            <w:pPr>
              <w:spacing w:line="240" w:lineRule="auto"/>
              <w:rPr>
                <w:sz w:val="28"/>
                <w:szCs w:val="28"/>
              </w:rPr>
            </w:pPr>
            <w:r>
              <w:rPr>
                <w:rFonts w:ascii="方正黑体_GBK" w:hAnsi="方正黑体_GBK" w:eastAsia="方正黑体_GBK" w:cs="宋体"/>
                <w:b/>
                <w:sz w:val="22"/>
                <w:szCs w:val="22"/>
              </w:rPr>
              <w:t>B份额：销售费年化0.15%</w:t>
            </w:r>
          </w:p>
          <w:p w14:paraId="40872178">
            <w:pPr>
              <w:spacing w:line="240" w:lineRule="auto"/>
              <w:rPr>
                <w:sz w:val="28"/>
                <w:szCs w:val="28"/>
              </w:rPr>
            </w:pPr>
            <w:r>
              <w:rPr>
                <w:rFonts w:ascii="方正黑体_GBK" w:hAnsi="方正黑体_GBK" w:eastAsia="方正黑体_GBK" w:cs="宋体"/>
                <w:b/>
                <w:sz w:val="22"/>
                <w:szCs w:val="22"/>
              </w:rPr>
              <w:t>C份额：销售费年化0.05%</w:t>
            </w:r>
          </w:p>
          <w:p w14:paraId="05C104D6">
            <w:pPr>
              <w:spacing w:line="240" w:lineRule="auto"/>
              <w:rPr>
                <w:sz w:val="28"/>
                <w:szCs w:val="28"/>
              </w:rPr>
            </w:pPr>
            <w:r>
              <w:rPr>
                <w:rFonts w:ascii="方正黑体_GBK" w:hAnsi="方正黑体_GBK" w:eastAsia="方正黑体_GBK" w:cs="宋体"/>
                <w:b/>
                <w:sz w:val="22"/>
                <w:szCs w:val="22"/>
              </w:rPr>
              <w:t>F份额：销售费年化0.2%</w:t>
            </w:r>
          </w:p>
          <w:p w14:paraId="510B6CFE">
            <w:pPr>
              <w:spacing w:line="240" w:lineRule="auto"/>
              <w:rPr>
                <w:sz w:val="28"/>
                <w:szCs w:val="28"/>
              </w:rPr>
            </w:pPr>
            <w:r>
              <w:rPr>
                <w:rFonts w:ascii="方正黑体_GBK" w:hAnsi="方正黑体_GBK" w:eastAsia="方正黑体_GBK" w:cs="宋体"/>
                <w:b/>
                <w:sz w:val="22"/>
                <w:szCs w:val="22"/>
              </w:rPr>
              <w:t>J份额：销售费年化0.2%</w:t>
            </w:r>
          </w:p>
          <w:p w14:paraId="01172647">
            <w:pPr>
              <w:spacing w:line="240" w:lineRule="auto"/>
              <w:rPr>
                <w:sz w:val="28"/>
                <w:szCs w:val="28"/>
              </w:rPr>
            </w:pPr>
            <w:r>
              <w:rPr>
                <w:rFonts w:ascii="方正黑体_GBK" w:hAnsi="方正黑体_GBK" w:eastAsia="方正黑体_GBK" w:cs="宋体"/>
                <w:b/>
                <w:sz w:val="22"/>
                <w:szCs w:val="22"/>
              </w:rPr>
              <w:t>L份额：销售费年化0.05%</w:t>
            </w:r>
          </w:p>
          <w:p w14:paraId="7112B77E">
            <w:pPr>
              <w:spacing w:line="240" w:lineRule="auto"/>
              <w:rPr>
                <w:sz w:val="28"/>
                <w:szCs w:val="28"/>
              </w:rPr>
            </w:pPr>
            <w:r>
              <w:rPr>
                <w:rFonts w:ascii="方正黑体_GBK" w:hAnsi="方正黑体_GBK" w:eastAsia="方正黑体_GBK" w:cs="宋体"/>
                <w:b/>
                <w:sz w:val="22"/>
                <w:szCs w:val="22"/>
              </w:rPr>
              <w:t>B2份额：销售费年化0.25%</w:t>
            </w:r>
          </w:p>
          <w:p w14:paraId="23A629D0">
            <w:pPr>
              <w:spacing w:line="240" w:lineRule="auto"/>
              <w:rPr>
                <w:sz w:val="28"/>
                <w:szCs w:val="28"/>
              </w:rPr>
            </w:pPr>
            <w:r>
              <w:rPr>
                <w:rFonts w:ascii="方正黑体_GBK" w:hAnsi="方正黑体_GBK" w:eastAsia="方正黑体_GBK" w:cs="宋体"/>
                <w:b/>
                <w:sz w:val="22"/>
                <w:szCs w:val="22"/>
              </w:rPr>
              <w:t>C2份额：销售费年化0.15%</w:t>
            </w:r>
          </w:p>
          <w:p w14:paraId="578B62D7">
            <w:pPr>
              <w:spacing w:line="240" w:lineRule="auto"/>
              <w:rPr>
                <w:sz w:val="28"/>
                <w:szCs w:val="28"/>
              </w:rPr>
            </w:pPr>
            <w:r>
              <w:rPr>
                <w:rFonts w:ascii="方正黑体_GBK" w:hAnsi="方正黑体_GBK" w:eastAsia="方正黑体_GBK" w:cs="宋体"/>
                <w:b/>
                <w:sz w:val="22"/>
                <w:szCs w:val="22"/>
              </w:rPr>
              <w:t>D2份额：销售费年化0.05%</w:t>
            </w:r>
          </w:p>
          <w:p w14:paraId="62255D81">
            <w:pPr>
              <w:spacing w:line="240" w:lineRule="auto"/>
              <w:rPr>
                <w:sz w:val="28"/>
                <w:szCs w:val="28"/>
              </w:rPr>
            </w:pPr>
            <w:r>
              <w:rPr>
                <w:rFonts w:ascii="方正黑体_GBK" w:hAnsi="方正黑体_GBK" w:eastAsia="方正黑体_GBK" w:cs="宋体"/>
                <w:b/>
                <w:sz w:val="22"/>
                <w:szCs w:val="22"/>
              </w:rPr>
              <w:t>Q份额：销售费年化0.1%</w:t>
            </w:r>
          </w:p>
          <w:p w14:paraId="1E71E660">
            <w:pPr>
              <w:spacing w:line="240" w:lineRule="auto"/>
              <w:rPr>
                <w:sz w:val="28"/>
                <w:szCs w:val="28"/>
              </w:rPr>
            </w:pPr>
            <w:r>
              <w:rPr>
                <w:rFonts w:ascii="方正黑体_GBK" w:hAnsi="方正黑体_GBK" w:eastAsia="方正黑体_GBK" w:cs="宋体"/>
                <w:b/>
                <w:sz w:val="22"/>
                <w:szCs w:val="22"/>
              </w:rPr>
              <w:t>Q2份额：销售费年化0.1%</w:t>
            </w:r>
          </w:p>
          <w:p w14:paraId="2251843E">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5E73E2F">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6EEC7E02">
            <w:pPr>
              <w:spacing w:line="240" w:lineRule="auto"/>
              <w:rPr>
                <w:sz w:val="28"/>
                <w:szCs w:val="28"/>
              </w:rPr>
            </w:pPr>
            <w:r>
              <w:rPr>
                <w:rFonts w:ascii="方正黑体_GBK" w:hAnsi="方正黑体_GBK" w:eastAsia="方正黑体_GBK" w:cs="宋体"/>
                <w:b/>
                <w:sz w:val="22"/>
                <w:szCs w:val="22"/>
              </w:rPr>
              <w:t>A份额：固定管理费年化0.11%</w:t>
            </w:r>
          </w:p>
          <w:p w14:paraId="05CC081F">
            <w:pPr>
              <w:spacing w:line="240" w:lineRule="auto"/>
              <w:rPr>
                <w:sz w:val="28"/>
                <w:szCs w:val="28"/>
              </w:rPr>
            </w:pPr>
            <w:r>
              <w:rPr>
                <w:rFonts w:ascii="方正黑体_GBK" w:hAnsi="方正黑体_GBK" w:eastAsia="方正黑体_GBK" w:cs="宋体"/>
                <w:b/>
                <w:sz w:val="22"/>
                <w:szCs w:val="22"/>
              </w:rPr>
              <w:t>B份额：固定管理费年化0.06%</w:t>
            </w:r>
          </w:p>
          <w:p w14:paraId="5693670E">
            <w:pPr>
              <w:spacing w:line="240" w:lineRule="auto"/>
              <w:rPr>
                <w:sz w:val="28"/>
                <w:szCs w:val="28"/>
              </w:rPr>
            </w:pPr>
            <w:r>
              <w:rPr>
                <w:rFonts w:ascii="方正黑体_GBK" w:hAnsi="方正黑体_GBK" w:eastAsia="方正黑体_GBK" w:cs="宋体"/>
                <w:b/>
                <w:sz w:val="22"/>
                <w:szCs w:val="22"/>
              </w:rPr>
              <w:t>C份额：固定管理费年化0.06%</w:t>
            </w:r>
          </w:p>
          <w:p w14:paraId="7144E344">
            <w:pPr>
              <w:spacing w:line="240" w:lineRule="auto"/>
              <w:rPr>
                <w:sz w:val="28"/>
                <w:szCs w:val="28"/>
              </w:rPr>
            </w:pPr>
            <w:r>
              <w:rPr>
                <w:rFonts w:ascii="方正黑体_GBK" w:hAnsi="方正黑体_GBK" w:eastAsia="方正黑体_GBK" w:cs="宋体"/>
                <w:b/>
                <w:sz w:val="22"/>
                <w:szCs w:val="22"/>
              </w:rPr>
              <w:t>F份额：固定管理费年化0.01%</w:t>
            </w:r>
          </w:p>
          <w:p w14:paraId="0073A115">
            <w:pPr>
              <w:spacing w:line="240" w:lineRule="auto"/>
              <w:rPr>
                <w:sz w:val="28"/>
                <w:szCs w:val="28"/>
              </w:rPr>
            </w:pPr>
            <w:r>
              <w:rPr>
                <w:rFonts w:ascii="方正黑体_GBK" w:hAnsi="方正黑体_GBK" w:eastAsia="方正黑体_GBK" w:cs="宋体"/>
                <w:b/>
                <w:sz w:val="22"/>
                <w:szCs w:val="22"/>
              </w:rPr>
              <w:t>J份额：固定管理费年化0.11%</w:t>
            </w:r>
          </w:p>
          <w:p w14:paraId="621A1C35">
            <w:pPr>
              <w:spacing w:line="240" w:lineRule="auto"/>
              <w:rPr>
                <w:sz w:val="28"/>
                <w:szCs w:val="28"/>
              </w:rPr>
            </w:pPr>
            <w:r>
              <w:rPr>
                <w:rFonts w:ascii="方正黑体_GBK" w:hAnsi="方正黑体_GBK" w:eastAsia="方正黑体_GBK" w:cs="宋体"/>
                <w:b/>
                <w:sz w:val="22"/>
                <w:szCs w:val="22"/>
              </w:rPr>
              <w:t>L份额：固定管理费年化0.01%</w:t>
            </w:r>
          </w:p>
          <w:p w14:paraId="181D3B81">
            <w:pPr>
              <w:spacing w:line="240" w:lineRule="auto"/>
              <w:rPr>
                <w:sz w:val="28"/>
                <w:szCs w:val="28"/>
              </w:rPr>
            </w:pPr>
            <w:r>
              <w:rPr>
                <w:rFonts w:ascii="方正黑体_GBK" w:hAnsi="方正黑体_GBK" w:eastAsia="方正黑体_GBK" w:cs="宋体"/>
                <w:b/>
                <w:sz w:val="22"/>
                <w:szCs w:val="22"/>
              </w:rPr>
              <w:t>B2份额：固定管理费年化0.01%</w:t>
            </w:r>
          </w:p>
          <w:p w14:paraId="41E9B395">
            <w:pPr>
              <w:spacing w:line="240" w:lineRule="auto"/>
              <w:rPr>
                <w:sz w:val="28"/>
                <w:szCs w:val="28"/>
              </w:rPr>
            </w:pPr>
            <w:r>
              <w:rPr>
                <w:rFonts w:ascii="方正黑体_GBK" w:hAnsi="方正黑体_GBK" w:eastAsia="方正黑体_GBK" w:cs="宋体"/>
                <w:b/>
                <w:sz w:val="22"/>
                <w:szCs w:val="22"/>
              </w:rPr>
              <w:t>C2份额：固定管理费年化0.01%</w:t>
            </w:r>
          </w:p>
          <w:p w14:paraId="037B3928">
            <w:pPr>
              <w:spacing w:line="240" w:lineRule="auto"/>
              <w:rPr>
                <w:sz w:val="28"/>
                <w:szCs w:val="28"/>
              </w:rPr>
            </w:pPr>
            <w:r>
              <w:rPr>
                <w:rFonts w:ascii="方正黑体_GBK" w:hAnsi="方正黑体_GBK" w:eastAsia="方正黑体_GBK" w:cs="宋体"/>
                <w:b/>
                <w:sz w:val="22"/>
                <w:szCs w:val="22"/>
              </w:rPr>
              <w:t>D2份额：固定管理费年化0.01%</w:t>
            </w:r>
          </w:p>
          <w:p w14:paraId="7991F03D">
            <w:pPr>
              <w:spacing w:line="240" w:lineRule="auto"/>
              <w:rPr>
                <w:sz w:val="28"/>
                <w:szCs w:val="28"/>
              </w:rPr>
            </w:pPr>
            <w:r>
              <w:rPr>
                <w:rFonts w:ascii="方正黑体_GBK" w:hAnsi="方正黑体_GBK" w:eastAsia="方正黑体_GBK" w:cs="宋体"/>
                <w:b/>
                <w:sz w:val="22"/>
                <w:szCs w:val="22"/>
              </w:rPr>
              <w:t>Q份额：固定管理费年化0.06%</w:t>
            </w:r>
          </w:p>
          <w:p w14:paraId="10FD9C5D">
            <w:pPr>
              <w:spacing w:line="240" w:lineRule="auto"/>
              <w:rPr>
                <w:sz w:val="28"/>
                <w:szCs w:val="28"/>
              </w:rPr>
            </w:pPr>
            <w:r>
              <w:rPr>
                <w:rFonts w:ascii="方正黑体_GBK" w:hAnsi="方正黑体_GBK" w:eastAsia="方正黑体_GBK" w:cs="宋体"/>
                <w:b/>
                <w:sz w:val="22"/>
                <w:szCs w:val="22"/>
              </w:rPr>
              <w:t>Q2份额：固定管理费年化0.01%</w:t>
            </w:r>
          </w:p>
          <w:p w14:paraId="3FF42203">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604E6848">
            <w:pPr>
              <w:spacing w:line="240" w:lineRule="auto"/>
              <w:rPr>
                <w:sz w:val="28"/>
                <w:szCs w:val="28"/>
              </w:rPr>
            </w:pPr>
            <w:r>
              <w:rPr>
                <w:rFonts w:ascii="方正黑体_GBK" w:hAnsi="方正黑体_GBK" w:eastAsia="方正黑体_GBK" w:cs="宋体"/>
                <w:b/>
                <w:sz w:val="22"/>
                <w:szCs w:val="22"/>
              </w:rPr>
              <w:t>托管费：</w:t>
            </w:r>
          </w:p>
          <w:p w14:paraId="73724712">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6F2D8DFC">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525DC917">
            <w:pPr>
              <w:spacing w:line="240" w:lineRule="auto"/>
              <w:rPr>
                <w:sz w:val="28"/>
                <w:szCs w:val="28"/>
              </w:rPr>
            </w:pPr>
            <w:r>
              <w:rPr>
                <w:rFonts w:ascii="方正黑体_GBK" w:hAnsi="方正黑体_GBK" w:eastAsia="方正黑体_GBK" w:cs="宋体"/>
                <w:b/>
                <w:sz w:val="22"/>
                <w:szCs w:val="22"/>
              </w:rPr>
              <w:t>业绩报酬：</w:t>
            </w:r>
          </w:p>
          <w:p w14:paraId="77416ACA">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A份额：到期兑付时，当期产品投资的实际资产组合收益（扣除销售费、固定管理费、托管费等相关费用）超过1.9%（年化，即产品该份额对应的业绩报酬计提基准）时，超过部分管理人将按60%收取业绩报酬。</w:t>
            </w:r>
          </w:p>
          <w:p w14:paraId="6DC1BFAC">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B份额：到期兑付时，当期产品投资的实际资产组合收益（扣除销售费、固定管理费、托管费等相关费用）超过2%（年化，即产品该份额对应的业绩报酬计提基准）时，超过部分管理人将按60%收取业绩报酬。</w:t>
            </w:r>
          </w:p>
          <w:p w14:paraId="5433BEBD">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C份额：到期兑付时，当期产品投资的实际资产组合收益（扣除销售费、固定管理费、托管费等相关费用）超过2.1%（年化，即产品该份额对应的业绩报酬计提基准）时，超过部分管理人将按60%收取业绩报酬。</w:t>
            </w:r>
          </w:p>
          <w:p w14:paraId="2A7D7A40">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F份额：到期兑付时，当期产品投资的实际资产组合收益（扣除销售费、固定管理费、托管费等相关费用）超过2%（年化，即产品该份额对应的业绩报酬计提基准）时，超过部分管理人将按60%收取业绩报酬。</w:t>
            </w:r>
          </w:p>
          <w:p w14:paraId="15617313">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J份额：到期兑付时，当期产品投资的实际资产组合收益（扣除销售费、固定管理费、托管费等相关费用）超过1.9%（年化，即产品该份额对应的业绩报酬计提基准）时，超过部分管理人将按60%收取业绩报酬。</w:t>
            </w:r>
          </w:p>
          <w:p w14:paraId="37C46109">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L份额：到期兑付时，当期产品投资的实际资产组合收益（扣除销售费、固定管理费、托管费等相关费用）超过2.15%（年化，即产品该份额对应的业绩报酬计提基准）时，超过部分管理人将按60%收取业绩报酬。</w:t>
            </w:r>
          </w:p>
          <w:p w14:paraId="35D5A404">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B2份额：到期兑付时，当期产品投资的实际资产组合收益（扣除销售费、固定管理费、托管费等相关费用）超过1.95%（年化，即产品该份额对应的业绩报酬计提基准）时，超过部分管理人将按60%收取业绩报酬。</w:t>
            </w:r>
          </w:p>
          <w:p w14:paraId="6B93D358">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C2份额：到期兑付时，当期产品投资的实际资产组合收益（扣除销售费、固定管理费、托管费等相关费用）超过2.05%（年化，即产品该份额对应的业绩报酬计提基准）时，超过部分管理人将按60%收取业绩报酬。</w:t>
            </w:r>
          </w:p>
          <w:p w14:paraId="6B391215">
            <w:pPr>
              <w:spacing w:line="240" w:lineRule="auto"/>
              <w:rPr>
                <w:sz w:val="28"/>
                <w:szCs w:val="28"/>
              </w:rPr>
            </w:pPr>
            <w:r>
              <w:rPr>
                <w:rFonts w:ascii="方正黑体_GBK" w:hAnsi="方正黑体_GBK" w:eastAsia="方正黑体_GBK" w:cs="宋体"/>
                <w:b/>
                <w:sz w:val="22"/>
                <w:szCs w:val="22"/>
              </w:rPr>
              <w:t>D2份额：到期兑付时，当期产品投资的实际资产组合收益（扣除销售费、固定管理费、托管费等相关费用）超过2.15%（年化，即产品该份额对应的业绩报酬计提基准）时，超过部分管理人将按60%收取业绩报酬。</w:t>
            </w:r>
          </w:p>
          <w:p w14:paraId="7A7C5A7C">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Q份额：到期兑付时，当期产品投资的实际资产组合收益（扣除销售费、固定管理费、托管费等相关费用）超过2.05%（年化，即产品该份额对应的业绩报酬计提基准）时，超过部分管理人将按60%收取业绩报酬。</w:t>
            </w:r>
          </w:p>
          <w:p w14:paraId="75F8DD85">
            <w:pPr>
              <w:spacing w:line="240" w:lineRule="auto"/>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Q2份额：到期兑付时，当期产品投资的实际资产组合收益（扣除销售费、固定管理费、托管费等相关费用）超过2.1%（年化，即产品该份额对应的业绩报酬计提基准）时，超过部分管理人将按60%收取业绩报酬。</w:t>
            </w:r>
          </w:p>
          <w:p w14:paraId="2A8F3147">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0A575DCA">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559562B0">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26EE5838">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115CF8A8">
            <w:pPr>
              <w:spacing w:line="240" w:lineRule="auto"/>
              <w:rPr>
                <w:sz w:val="28"/>
                <w:szCs w:val="28"/>
              </w:rPr>
            </w:pPr>
            <w:r>
              <w:rPr>
                <w:rFonts w:ascii="方正黑体_GBK" w:hAnsi="方正黑体_GBK" w:eastAsia="方正黑体_GBK" w:cs="宋体"/>
                <w:b/>
                <w:sz w:val="22"/>
                <w:szCs w:val="22"/>
              </w:rPr>
              <w:t>计算本区间业绩报酬的公式如下：</w:t>
            </w:r>
          </w:p>
          <w:p w14:paraId="7D1CC09B">
            <w:pPr>
              <w:spacing w:line="240" w:lineRule="auto"/>
              <w:rPr>
                <w:sz w:val="28"/>
                <w:szCs w:val="28"/>
              </w:rPr>
            </w:pPr>
            <w:r>
              <w:rPr>
                <w:rFonts w:ascii="方正黑体_GBK" w:hAnsi="方正黑体_GBK" w:eastAsia="方正黑体_GBK" w:cs="宋体"/>
                <w:b/>
                <w:sz w:val="22"/>
                <w:szCs w:val="22"/>
              </w:rPr>
              <w:t>A={B-C*D*(1+E*F/365)}*G。</w:t>
            </w:r>
          </w:p>
          <w:p w14:paraId="53CD9F32">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0FD4F77F">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EAB7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4A44C2D0">
            <w:pPr>
              <w:spacing w:line="240" w:lineRule="auto"/>
              <w:rPr>
                <w:sz w:val="28"/>
                <w:szCs w:val="28"/>
              </w:rPr>
            </w:pPr>
            <w:r>
              <w:rPr>
                <w:rFonts w:ascii="方正黑体_GBK" w:hAnsi="方正黑体_GBK" w:eastAsia="方正黑体_GBK" w:cs="宋体"/>
                <w:sz w:val="22"/>
                <w:szCs w:val="22"/>
              </w:rPr>
              <w:t>具体详见本理财产品风险揭示书。</w:t>
            </w:r>
          </w:p>
        </w:tc>
      </w:tr>
      <w:tr w14:paraId="7F365CB1">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4816E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62E44646">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014605CC">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0EE3F9A2">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7A1DC762">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1252A889">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2ECC8350">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37FBBA52">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2C2B110D">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70B532A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A04F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41DF2DDC">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永丰银行（中国）有限公司、海南农村商业银行股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57780201">
            <w:pPr>
              <w:spacing w:line="240" w:lineRule="auto"/>
              <w:jc w:val="left"/>
              <w:rPr>
                <w:sz w:val="28"/>
                <w:szCs w:val="28"/>
              </w:rPr>
            </w:pPr>
            <w:r>
              <w:rPr>
                <w:rFonts w:ascii="方正黑体_GBK" w:hAnsi="方正黑体_GBK" w:eastAsia="方正黑体_GBK" w:cs="宋体"/>
                <w:sz w:val="22"/>
                <w:szCs w:val="22"/>
              </w:rPr>
              <w:t>销售机构主要职责如下：</w:t>
            </w:r>
          </w:p>
          <w:p w14:paraId="7A4C135D">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46608852">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15E236E1">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0CEFA176">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297F5230">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2E6C7C8D">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2DCADD37">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F90C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35E4AC0B">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2312A33F">
            <w:pPr>
              <w:spacing w:line="240" w:lineRule="auto"/>
              <w:rPr>
                <w:sz w:val="28"/>
                <w:szCs w:val="28"/>
              </w:rPr>
            </w:pPr>
            <w:r>
              <w:rPr>
                <w:rFonts w:ascii="方正黑体_GBK" w:hAnsi="方正黑体_GBK" w:eastAsia="方正黑体_GBK" w:cs="宋体"/>
                <w:sz w:val="22"/>
                <w:szCs w:val="22"/>
              </w:rPr>
              <w:t>1.安全保管理财产品财产；</w:t>
            </w:r>
          </w:p>
          <w:p w14:paraId="1B82F3B7">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2E65BA22">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0F6039C1">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39A650A9">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4EB7F058">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21FE0D49">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48B9CDD6">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6244C243">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714722E4">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BF8FE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1ED7D43B">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07626320">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31745371">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5C513B0D">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414A10D1">
            <w:pPr>
              <w:spacing w:line="240" w:lineRule="auto"/>
              <w:rPr>
                <w:sz w:val="28"/>
                <w:szCs w:val="28"/>
              </w:rPr>
            </w:pPr>
            <w:r>
              <w:rPr>
                <w:rFonts w:ascii="方正黑体_GBK" w:hAnsi="方正黑体_GBK" w:eastAsia="方正黑体_GBK" w:cs="宋体"/>
                <w:sz w:val="22"/>
                <w:szCs w:val="22"/>
              </w:rPr>
              <w:t>上述投资合作机构简介：</w:t>
            </w:r>
          </w:p>
          <w:p w14:paraId="6B59B906">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5A93284D">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1CF975CB">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2EEAD1B6">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6BF9FE58">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13377046">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12BD13D0">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176E6061">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5B32569B">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5579B220">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02985BC7">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3CA94E4C">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6193576F">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11155475">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0E6EBE18">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6933FE08">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224036FD">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085A82AB">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1B49AE20">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33AF3344">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44D67288">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65801E21">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D7A24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5B376713">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14746A5A">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66360547">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0C4F4273">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646C49D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26F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6416FC2F">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082EDA5C">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0F8D018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0C6EF63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44AE76EC">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7075933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1F14950A">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0851C44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3ADBC4E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1EF1125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3C9B629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3E7717AC">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1089B19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7626AAC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13669EA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35701B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0B6B5A6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4FDD4C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512DD25E">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5D9FE48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617D190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53E3558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6817064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445335E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7CBE773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0810BCA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28A684D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0DE88A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605256E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696AF8F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55BD6C0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792D938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0E17C60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294E426F">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南银理财珠联璧合鑫逸稳半年186期封闭式公募人民币理财产品</w:t>
      </w:r>
      <w:r>
        <w:rPr>
          <w:rFonts w:hint="eastAsia" w:ascii="方正黑体_GBK" w:hAnsi="方正黑体_GBK" w:eastAsia="方正黑体_GBK"/>
          <w:vanish w:val="0"/>
          <w:color w:val="3D3D3D"/>
          <w:kern w:val="0"/>
          <w:sz w:val="20"/>
          <w:szCs w:val="20"/>
        </w:rPr>
        <w:t>。</w:t>
      </w:r>
    </w:p>
    <w:p w14:paraId="139E690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6626BBC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14040C2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2B1EE3D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4B620299">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6BB48C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3AB0BC5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72029F9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1513431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172DE1A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48A9A05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6D90BF5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114EE2D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17DCD01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33C6527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07BF588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7C845B2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6AA990A9">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4C89B3C3">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5E067D6A">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236A4D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18BAB9B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FEC0C21">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15ABED6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4AA05EA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6979B437">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4BC2DD10">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202B44B9">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4F71B19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5115FBA7">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4B0660A4">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23F6B68">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2ED31E3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6AF0CF93">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0962F24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09A2294D">
      <w:pPr>
        <w:spacing w:line="240" w:lineRule="auto"/>
        <w:ind w:firstLine="300"/>
        <w:jc w:val="both"/>
        <w:rPr>
          <w:sz w:val="28"/>
          <w:szCs w:val="28"/>
        </w:rPr>
      </w:pPr>
      <w:r>
        <w:rPr>
          <w:rFonts w:ascii="方正黑体_GBK" w:hAnsi="方正黑体_GBK" w:eastAsia="方正黑体_GBK" w:cs="宋体"/>
          <w:sz w:val="20"/>
          <w:szCs w:val="24"/>
        </w:rPr>
        <w:t>（一）估值日</w:t>
      </w:r>
    </w:p>
    <w:p w14:paraId="33310466">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036D34D9">
      <w:pPr>
        <w:spacing w:line="240" w:lineRule="auto"/>
        <w:ind w:firstLine="300"/>
        <w:jc w:val="both"/>
        <w:rPr>
          <w:sz w:val="28"/>
          <w:szCs w:val="28"/>
        </w:rPr>
      </w:pPr>
      <w:r>
        <w:rPr>
          <w:rFonts w:ascii="方正黑体_GBK" w:hAnsi="方正黑体_GBK" w:eastAsia="方正黑体_GBK" w:cs="宋体"/>
          <w:sz w:val="20"/>
          <w:szCs w:val="24"/>
        </w:rPr>
        <w:t>（二）估值对象</w:t>
      </w:r>
    </w:p>
    <w:p w14:paraId="3D2D6CFA">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7DBD911A">
      <w:pPr>
        <w:spacing w:line="240" w:lineRule="auto"/>
        <w:ind w:firstLine="300"/>
        <w:jc w:val="both"/>
        <w:rPr>
          <w:sz w:val="28"/>
          <w:szCs w:val="28"/>
        </w:rPr>
      </w:pPr>
      <w:r>
        <w:rPr>
          <w:rFonts w:ascii="方正黑体_GBK" w:hAnsi="方正黑体_GBK" w:eastAsia="方正黑体_GBK" w:cs="宋体"/>
          <w:sz w:val="20"/>
          <w:szCs w:val="24"/>
        </w:rPr>
        <w:t>（三）估值目的</w:t>
      </w:r>
    </w:p>
    <w:p w14:paraId="0F16E12E">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57E05A41">
      <w:pPr>
        <w:spacing w:line="240" w:lineRule="auto"/>
        <w:ind w:firstLine="300"/>
        <w:jc w:val="both"/>
        <w:rPr>
          <w:sz w:val="28"/>
          <w:szCs w:val="28"/>
        </w:rPr>
      </w:pPr>
      <w:r>
        <w:rPr>
          <w:rFonts w:ascii="方正黑体_GBK" w:hAnsi="方正黑体_GBK" w:eastAsia="方正黑体_GBK" w:cs="宋体"/>
          <w:sz w:val="20"/>
          <w:szCs w:val="24"/>
        </w:rPr>
        <w:t>（四）估值原则</w:t>
      </w:r>
    </w:p>
    <w:p w14:paraId="52AD1548">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011F5F91">
      <w:pPr>
        <w:spacing w:line="240" w:lineRule="auto"/>
        <w:ind w:firstLine="300"/>
        <w:jc w:val="both"/>
        <w:rPr>
          <w:sz w:val="28"/>
          <w:szCs w:val="28"/>
        </w:rPr>
      </w:pPr>
      <w:r>
        <w:rPr>
          <w:rFonts w:ascii="方正黑体_GBK" w:hAnsi="方正黑体_GBK" w:eastAsia="方正黑体_GBK" w:cs="宋体"/>
          <w:sz w:val="20"/>
          <w:szCs w:val="24"/>
        </w:rPr>
        <w:t>（五）估值方法</w:t>
      </w:r>
    </w:p>
    <w:p w14:paraId="4878F0D2">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31B93883">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50422583">
      <w:pPr>
        <w:spacing w:line="240" w:lineRule="auto"/>
        <w:ind w:firstLine="440"/>
        <w:rPr>
          <w:sz w:val="28"/>
          <w:szCs w:val="28"/>
        </w:rPr>
      </w:pPr>
      <w:r>
        <w:rPr>
          <w:rFonts w:ascii="方正黑体_GBK" w:hAnsi="方正黑体_GBK" w:eastAsia="方正黑体_GBK" w:cs="宋体"/>
          <w:sz w:val="22"/>
          <w:szCs w:val="24"/>
        </w:rPr>
        <w:t>以本金列示，逐日计提利息。</w:t>
      </w:r>
    </w:p>
    <w:p w14:paraId="1FA95C42">
      <w:pPr>
        <w:spacing w:line="240" w:lineRule="auto"/>
        <w:ind w:firstLine="440"/>
        <w:rPr>
          <w:sz w:val="28"/>
          <w:szCs w:val="28"/>
        </w:rPr>
      </w:pPr>
      <w:r>
        <w:rPr>
          <w:rFonts w:ascii="方正黑体_GBK" w:hAnsi="方正黑体_GBK" w:eastAsia="方正黑体_GBK" w:cs="宋体"/>
          <w:sz w:val="22"/>
          <w:szCs w:val="24"/>
        </w:rPr>
        <w:t>2.债券类资产</w:t>
      </w:r>
    </w:p>
    <w:p w14:paraId="050B2EDA">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0E6A2872">
      <w:pPr>
        <w:spacing w:line="240" w:lineRule="auto"/>
        <w:ind w:firstLine="440"/>
        <w:rPr>
          <w:sz w:val="28"/>
          <w:szCs w:val="28"/>
        </w:rPr>
      </w:pPr>
      <w:r>
        <w:rPr>
          <w:rFonts w:ascii="方正黑体_GBK" w:hAnsi="方正黑体_GBK" w:eastAsia="方正黑体_GBK" w:cs="宋体"/>
          <w:sz w:val="22"/>
          <w:szCs w:val="24"/>
        </w:rPr>
        <w:t>3.非标准化债权类资产</w:t>
      </w:r>
    </w:p>
    <w:p w14:paraId="291B18B5">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3C73918F">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26975752">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4E49DF30">
      <w:pPr>
        <w:spacing w:line="240" w:lineRule="auto"/>
        <w:ind w:firstLine="440"/>
        <w:rPr>
          <w:sz w:val="28"/>
          <w:szCs w:val="28"/>
        </w:rPr>
      </w:pPr>
      <w:r>
        <w:rPr>
          <w:rFonts w:ascii="方正黑体_GBK" w:hAnsi="方正黑体_GBK" w:eastAsia="方正黑体_GBK" w:cs="宋体"/>
          <w:sz w:val="22"/>
          <w:szCs w:val="24"/>
        </w:rPr>
        <w:t>5.股权类及其他资产</w:t>
      </w:r>
    </w:p>
    <w:p w14:paraId="30164B1D">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0FDCC657">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3397A227">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2E838C06">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6AC0063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6AF6E70C">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5216DBD4">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CF17F17">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197273EF">
      <w:pPr>
        <w:spacing w:line="240" w:lineRule="auto"/>
        <w:ind w:firstLine="300"/>
        <w:rPr>
          <w:sz w:val="28"/>
          <w:szCs w:val="28"/>
        </w:rPr>
      </w:pPr>
      <w:r>
        <w:rPr>
          <w:rFonts w:ascii="方正黑体_GBK" w:hAnsi="方正黑体_GBK" w:eastAsia="方正黑体_GBK" w:cs="宋体"/>
          <w:color w:val="3D3D3D"/>
          <w:sz w:val="20"/>
          <w:szCs w:val="24"/>
        </w:rPr>
        <w:t>1.净值信息</w:t>
      </w:r>
    </w:p>
    <w:p w14:paraId="12A2A0FE">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70488E19">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27C7A7EF">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35D29C0D">
      <w:pPr>
        <w:spacing w:line="240" w:lineRule="auto"/>
        <w:ind w:firstLine="300"/>
        <w:rPr>
          <w:sz w:val="28"/>
          <w:szCs w:val="28"/>
        </w:rPr>
      </w:pPr>
      <w:r>
        <w:rPr>
          <w:rFonts w:ascii="方正黑体_GBK" w:hAnsi="方正黑体_GBK" w:eastAsia="方正黑体_GBK" w:cs="宋体"/>
          <w:color w:val="3D3D3D"/>
          <w:sz w:val="20"/>
          <w:szCs w:val="24"/>
        </w:rPr>
        <w:t>3.定期报告</w:t>
      </w:r>
    </w:p>
    <w:p w14:paraId="6CDA592C">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6181DE99">
      <w:pPr>
        <w:spacing w:line="240" w:lineRule="auto"/>
        <w:ind w:firstLine="300"/>
        <w:rPr>
          <w:sz w:val="28"/>
          <w:szCs w:val="28"/>
        </w:rPr>
      </w:pPr>
      <w:r>
        <w:rPr>
          <w:rFonts w:ascii="方正黑体_GBK" w:hAnsi="方正黑体_GBK" w:eastAsia="方正黑体_GBK" w:cs="宋体"/>
          <w:color w:val="3D3D3D"/>
          <w:sz w:val="20"/>
          <w:szCs w:val="24"/>
        </w:rPr>
        <w:t>4.到期公告</w:t>
      </w:r>
    </w:p>
    <w:p w14:paraId="2500140B">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1D5339D6">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29DB06E5">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1351BA6F">
      <w:pPr>
        <w:spacing w:line="240" w:lineRule="auto"/>
        <w:ind w:firstLine="300"/>
        <w:rPr>
          <w:sz w:val="28"/>
          <w:szCs w:val="28"/>
        </w:rPr>
      </w:pPr>
      <w:r>
        <w:rPr>
          <w:rFonts w:ascii="方正黑体_GBK" w:hAnsi="方正黑体_GBK" w:eastAsia="方正黑体_GBK" w:cs="宋体"/>
          <w:color w:val="3D3D3D"/>
          <w:sz w:val="20"/>
          <w:szCs w:val="24"/>
        </w:rPr>
        <w:t>6.临时公告</w:t>
      </w:r>
    </w:p>
    <w:p w14:paraId="192DE91A">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5E3131C0">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233427A5">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1701B8C7">
      <w:pPr>
        <w:spacing w:line="240" w:lineRule="auto"/>
        <w:ind w:firstLine="300"/>
        <w:rPr>
          <w:sz w:val="28"/>
          <w:szCs w:val="28"/>
        </w:rPr>
      </w:pPr>
      <w:r>
        <w:rPr>
          <w:rFonts w:ascii="方正黑体_GBK" w:hAnsi="方正黑体_GBK" w:eastAsia="方正黑体_GBK" w:cs="宋体"/>
          <w:color w:val="3D3D3D"/>
          <w:sz w:val="20"/>
          <w:szCs w:val="24"/>
        </w:rPr>
        <w:t>8.账单</w:t>
      </w:r>
    </w:p>
    <w:p w14:paraId="2F1BFB5B">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46F7DED9">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276FFB15">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5F7CDE01">
      <w:pPr>
        <w:spacing w:line="240" w:lineRule="auto"/>
        <w:ind w:firstLine="300"/>
        <w:rPr>
          <w:sz w:val="28"/>
          <w:szCs w:val="28"/>
        </w:rPr>
      </w:pPr>
      <w:r>
        <w:rPr>
          <w:rFonts w:ascii="方正黑体_GBK" w:hAnsi="方正黑体_GBK" w:eastAsia="方正黑体_GBK" w:cs="宋体"/>
          <w:color w:val="3D3D3D"/>
          <w:sz w:val="20"/>
          <w:szCs w:val="24"/>
        </w:rPr>
        <w:t>10.其他公告</w:t>
      </w:r>
    </w:p>
    <w:p w14:paraId="571002D9">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732CED20">
      <w:pPr>
        <w:spacing w:line="240" w:lineRule="auto"/>
        <w:ind w:firstLine="300"/>
        <w:rPr>
          <w:sz w:val="28"/>
          <w:szCs w:val="28"/>
        </w:rPr>
      </w:pPr>
    </w:p>
    <w:p w14:paraId="68C8449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67B7268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4094F69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0DEE87E0">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1E47116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142CE329">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21DF48E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7E8E394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35B45B7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13601D2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1BDEB45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2B337A1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15E777EE">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6FD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E29F9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DE29F9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D517">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F68D3"/>
    <w:multiLevelType w:val="multilevel"/>
    <w:tmpl w:val="CB7F68D3"/>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FBFF3D8E"/>
    <w:multiLevelType w:val="multilevel"/>
    <w:tmpl w:val="FBFF3D8E"/>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2">
    <w:nsid w:val="7D63321F"/>
    <w:multiLevelType w:val="multilevel"/>
    <w:tmpl w:val="7D63321F"/>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DAEBC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d07a396d"/>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6b3b050b"/>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df456117"/>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139b16d3"/>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c3ee05ae"/>
    <w:uiPriority w:val="0"/>
  </w:style>
  <w:style w:type="paragraph" w:customStyle="1" w:styleId="20">
    <w:name w:val="toc 156248bd0"/>
    <w:basedOn w:val="15"/>
    <w:next w:val="1"/>
    <w:autoRedefine/>
    <w:uiPriority w:val="0"/>
  </w:style>
  <w:style w:type="paragraph" w:customStyle="1" w:styleId="21">
    <w:name w:val="toc 21f386196"/>
    <w:basedOn w:val="15"/>
    <w:next w:val="1"/>
    <w:autoRedefine/>
    <w:uiPriority w:val="0"/>
    <w:pPr>
      <w:ind w:left="420"/>
    </w:pPr>
  </w:style>
  <w:style w:type="paragraph" w:customStyle="1" w:styleId="22">
    <w:name w:val="toc 31fec33db"/>
    <w:basedOn w:val="15"/>
    <w:next w:val="1"/>
    <w:autoRedefine/>
    <w:uiPriority w:val="0"/>
    <w:pPr>
      <w:ind w:left="840"/>
    </w:pPr>
  </w:style>
  <w:style w:type="paragraph" w:customStyle="1" w:styleId="23">
    <w:name w:val="toc 450ec0643"/>
    <w:basedOn w:val="15"/>
    <w:next w:val="1"/>
    <w:autoRedefine/>
    <w:uiPriority w:val="0"/>
    <w:pPr>
      <w:ind w:left="1260"/>
    </w:pPr>
  </w:style>
  <w:style w:type="paragraph" w:customStyle="1" w:styleId="24">
    <w:name w:val="toc 5c54fd67d"/>
    <w:basedOn w:val="15"/>
    <w:next w:val="1"/>
    <w:autoRedefine/>
    <w:uiPriority w:val="0"/>
    <w:pPr>
      <w:ind w:left="1680"/>
    </w:pPr>
  </w:style>
  <w:style w:type="paragraph" w:customStyle="1" w:styleId="25">
    <w:name w:val="headerf9b214cb"/>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7b7adc44"/>
    <w:basedOn w:val="15"/>
    <w:uiPriority w:val="0"/>
    <w:pPr>
      <w:tabs>
        <w:tab w:val="center" w:pos="4153"/>
        <w:tab w:val="right" w:pos="8307"/>
      </w:tabs>
      <w:adjustRightInd/>
      <w:snapToGrid w:val="0"/>
      <w:contextualSpacing w:val="0"/>
      <w:jc w:val="left"/>
    </w:pPr>
    <w:rPr>
      <w:sz w:val="18"/>
    </w:rPr>
  </w:style>
  <w:style w:type="character" w:customStyle="1" w:styleId="27">
    <w:name w:val="Strong1d7b6211"/>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ee317718"/>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bff42600"/>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9132c85d"/>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9068bd20"/>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20904850"/>
    <w:uiPriority w:val="0"/>
  </w:style>
  <w:style w:type="paragraph" w:customStyle="1" w:styleId="34">
    <w:name w:val="Normal Indent136b8349"/>
    <w:basedOn w:val="29"/>
    <w:uiPriority w:val="0"/>
    <w:pPr>
      <w:ind w:firstLine="200" w:firstLineChars="200"/>
    </w:pPr>
  </w:style>
  <w:style w:type="paragraph" w:customStyle="1" w:styleId="35">
    <w:name w:val="toc 548148ab2"/>
    <w:basedOn w:val="29"/>
    <w:next w:val="1"/>
    <w:uiPriority w:val="0"/>
    <w:pPr>
      <w:ind w:left="1680"/>
    </w:pPr>
  </w:style>
  <w:style w:type="paragraph" w:customStyle="1" w:styleId="36">
    <w:name w:val="toc 3e387f8fb"/>
    <w:basedOn w:val="29"/>
    <w:next w:val="1"/>
    <w:uiPriority w:val="0"/>
    <w:pPr>
      <w:ind w:left="840"/>
    </w:pPr>
  </w:style>
  <w:style w:type="paragraph" w:customStyle="1" w:styleId="37">
    <w:name w:val="footer0fd17676"/>
    <w:basedOn w:val="29"/>
    <w:uiPriority w:val="0"/>
    <w:pPr>
      <w:tabs>
        <w:tab w:val="center" w:pos="4153"/>
        <w:tab w:val="right" w:pos="8307"/>
      </w:tabs>
      <w:adjustRightInd/>
      <w:snapToGrid w:val="0"/>
      <w:contextualSpacing w:val="0"/>
      <w:jc w:val="left"/>
    </w:pPr>
    <w:rPr>
      <w:sz w:val="18"/>
    </w:rPr>
  </w:style>
  <w:style w:type="paragraph" w:customStyle="1" w:styleId="38">
    <w:name w:val="headerd9ee0fd7"/>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a6c92ff8"/>
    <w:basedOn w:val="29"/>
    <w:next w:val="1"/>
    <w:uiPriority w:val="0"/>
  </w:style>
  <w:style w:type="paragraph" w:customStyle="1" w:styleId="40">
    <w:name w:val="toc 4c7cacb1b"/>
    <w:basedOn w:val="29"/>
    <w:next w:val="1"/>
    <w:uiPriority w:val="0"/>
    <w:pPr>
      <w:ind w:left="1260"/>
    </w:pPr>
  </w:style>
  <w:style w:type="paragraph" w:customStyle="1" w:styleId="41">
    <w:name w:val="toc 22fb0c84c"/>
    <w:basedOn w:val="29"/>
    <w:next w:val="1"/>
    <w:uiPriority w:val="0"/>
    <w:pPr>
      <w:ind w:left="420"/>
    </w:pPr>
  </w:style>
  <w:style w:type="paragraph" w:customStyle="1" w:styleId="42">
    <w:name w:val="Normal (Web)af9ed119"/>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967b39cb967b39cb"/>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73be128a73be128a"/>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24efbdc724efbdc7"/>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f97a520df97a520d"/>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a05ecfdba05ecfdb"/>
    <w:uiPriority w:val="0"/>
  </w:style>
  <w:style w:type="paragraph" w:customStyle="1" w:styleId="49">
    <w:name w:val="引文目录1b1702bccb1702bcc"/>
    <w:basedOn w:val="44"/>
    <w:next w:val="1"/>
    <w:uiPriority w:val="0"/>
    <w:pPr>
      <w:ind w:left="200" w:leftChars="200"/>
    </w:pPr>
  </w:style>
  <w:style w:type="paragraph" w:customStyle="1" w:styleId="50">
    <w:name w:val="toc 509450bac09450bac"/>
    <w:basedOn w:val="44"/>
    <w:next w:val="1"/>
    <w:uiPriority w:val="0"/>
    <w:pPr>
      <w:ind w:left="1680"/>
    </w:pPr>
  </w:style>
  <w:style w:type="paragraph" w:customStyle="1" w:styleId="51">
    <w:name w:val="toc 34f2db85b4f2db85b"/>
    <w:basedOn w:val="44"/>
    <w:next w:val="1"/>
    <w:uiPriority w:val="0"/>
    <w:pPr>
      <w:ind w:left="840"/>
    </w:pPr>
  </w:style>
  <w:style w:type="paragraph" w:customStyle="1" w:styleId="52">
    <w:name w:val="footeraa1e0656aa1e0656"/>
    <w:basedOn w:val="44"/>
    <w:uiPriority w:val="0"/>
    <w:pPr>
      <w:tabs>
        <w:tab w:val="center" w:pos="4153"/>
        <w:tab w:val="right" w:pos="8307"/>
      </w:tabs>
      <w:adjustRightInd/>
      <w:snapToGrid w:val="0"/>
      <w:contextualSpacing w:val="0"/>
      <w:jc w:val="left"/>
    </w:pPr>
    <w:rPr>
      <w:sz w:val="18"/>
    </w:rPr>
  </w:style>
  <w:style w:type="paragraph" w:customStyle="1" w:styleId="53">
    <w:name w:val="headercf30c385cf30c385"/>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e706b2a2e706b2a2"/>
    <w:basedOn w:val="44"/>
    <w:next w:val="1"/>
    <w:uiPriority w:val="0"/>
  </w:style>
  <w:style w:type="paragraph" w:customStyle="1" w:styleId="55">
    <w:name w:val="toc 407f3b5a107f3b5a1"/>
    <w:basedOn w:val="44"/>
    <w:next w:val="1"/>
    <w:uiPriority w:val="0"/>
    <w:pPr>
      <w:ind w:left="1260"/>
    </w:pPr>
  </w:style>
  <w:style w:type="paragraph" w:customStyle="1" w:styleId="56">
    <w:name w:val="toc 2ced2cb39ced2cb39"/>
    <w:basedOn w:val="44"/>
    <w:next w:val="1"/>
    <w:uiPriority w:val="0"/>
    <w:pPr>
      <w:ind w:left="420"/>
    </w:pPr>
  </w:style>
  <w:style w:type="paragraph" w:customStyle="1" w:styleId="57">
    <w:name w:val="列出段落1e77a8acae77a8aca"/>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28</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2026-06-21T11:24:37Z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