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798A3">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3D005A42">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44600AE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565ACF8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7C278B2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29C61E6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63B64F3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1976ACE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4D3880E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bookmarkStart w:id="0" w:name="_GoBack"/>
      <w:bookmarkEnd w:id="0"/>
    </w:p>
    <w:p w14:paraId="383597B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2EB95C6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0E2BD0F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7A1AA37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7443F2C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6D13533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544E3BE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643C1C1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4BDCFB6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18EEFDA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584B886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7862730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67A157C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3DB5CC1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3FF71AF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0C8A74C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7BA8D1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45725FF0">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1F2529E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0BD1BD68">
      <w:pPr>
        <w:spacing w:line="240" w:lineRule="auto"/>
        <w:rPr>
          <w:sz w:val="28"/>
          <w:szCs w:val="28"/>
        </w:rPr>
      </w:pPr>
      <w:r>
        <w:rPr>
          <w:rFonts w:ascii="方正黑体_GBK" w:hAnsi="方正黑体_GBK" w:eastAsia="方正黑体_GBK" w:cs="宋体"/>
          <w:b/>
          <w:sz w:val="18"/>
          <w:szCs w:val="24"/>
        </w:rPr>
        <w:t xml:space="preserve">    1.债券类资产投资风险</w:t>
      </w:r>
    </w:p>
    <w:p w14:paraId="5F7C2F77">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6F132B5D">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0E9A2C33">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417AFC36">
      <w:pPr>
        <w:spacing w:line="240" w:lineRule="auto"/>
        <w:rPr>
          <w:sz w:val="28"/>
          <w:szCs w:val="28"/>
        </w:rPr>
      </w:pPr>
      <w:r>
        <w:rPr>
          <w:rFonts w:ascii="方正黑体_GBK" w:hAnsi="方正黑体_GBK" w:eastAsia="方正黑体_GBK" w:cs="宋体"/>
          <w:b/>
          <w:sz w:val="18"/>
          <w:szCs w:val="24"/>
        </w:rPr>
        <w:t xml:space="preserve">    3.资产管理产品投资风险</w:t>
      </w:r>
    </w:p>
    <w:p w14:paraId="6E0CDFAC">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486A25FB">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6D5EDF4A">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254A766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2409BE5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196天</w:t>
      </w:r>
      <w:r>
        <w:rPr>
          <w:rFonts w:hint="eastAsia" w:ascii="方正黑体_GBK" w:hAnsi="方正黑体_GBK" w:eastAsia="方正黑体_GBK"/>
          <w:b/>
          <w:bCs w:val="0"/>
          <w:vanish w:val="0"/>
          <w:color w:val="3D3D3D"/>
          <w:kern w:val="0"/>
          <w:sz w:val="18"/>
          <w:szCs w:val="18"/>
        </w:rPr>
        <w:t>。</w:t>
      </w:r>
    </w:p>
    <w:p w14:paraId="3FFADA95">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432F0454">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5BEF37B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6A992F3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7EF2AAF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2177549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50AB832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31C4B10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13830FE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1651D528">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5ED488E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2455DC7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5DC2368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2D1415BF">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2E1CE965">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0DCFD34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206E9F5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3E655FD9">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1E4A0229">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6C1BA9C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34D8A8D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27A933C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4BC0C75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4D3578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3954A6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4760FEEF">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6D01D58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2A558079">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DBCF69B">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23E332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40F0F85B">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0EA879C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30B04756">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0E9DD3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04430AE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33F8013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57F2639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01C651C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53C9533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5F4FE02F">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29A762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4B73BB8A">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72BB1A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0"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63221DFA">
      <w:pPr>
        <w:spacing w:line="240" w:lineRule="auto"/>
        <w:rPr>
          <w:sz w:val="28"/>
          <w:szCs w:val="28"/>
        </w:rPr>
      </w:pPr>
      <w:r>
        <w:rPr>
          <w:rFonts w:ascii="方正黑体_GBK" w:hAnsi="方正黑体_GBK" w:eastAsia="方正黑体_GBK"/>
          <w:sz w:val="28"/>
          <w:szCs w:val="28"/>
        </w:rPr>
        <w:br w:type="page"/>
      </w:r>
    </w:p>
    <w:p w14:paraId="490D1ED6">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5EAEF9A3">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0FEAA34F">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30463F3C">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6F8902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7955A5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南银理财珠联璧合鑫逸稳半年185期（绿色金融主题）封闭式公募人民币理财产品</w:t>
            </w:r>
          </w:p>
        </w:tc>
      </w:tr>
      <w:tr w14:paraId="33741C26">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180781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682B2B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398994B7">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6FEF4D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45D13F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191C821C">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0E53EC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71B430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ZZ700322600182</w:t>
            </w:r>
          </w:p>
        </w:tc>
      </w:tr>
      <w:tr w14:paraId="251C93AF">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344CB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04F05D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Z7003226000182(投资者可依据该编码在中国理财网www.chinawealth.com.cn查询理财产品相关信息）</w:t>
            </w:r>
          </w:p>
        </w:tc>
      </w:tr>
      <w:tr w14:paraId="7BA0056C">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976D7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1FE82E2C">
            <w:pPr>
              <w:spacing w:line="240" w:lineRule="auto"/>
              <w:rPr>
                <w:sz w:val="28"/>
                <w:szCs w:val="28"/>
              </w:rPr>
            </w:pPr>
            <w:r>
              <w:rPr>
                <w:rFonts w:ascii="方正黑体_GBK" w:hAnsi="方正黑体_GBK" w:eastAsia="方正黑体_GBK" w:cs="宋体"/>
                <w:sz w:val="22"/>
                <w:szCs w:val="22"/>
              </w:rPr>
              <w:t>A份额：NYXY001007</w:t>
            </w:r>
          </w:p>
          <w:p w14:paraId="5774EE40">
            <w:pPr>
              <w:spacing w:line="240" w:lineRule="auto"/>
              <w:rPr>
                <w:sz w:val="28"/>
                <w:szCs w:val="28"/>
              </w:rPr>
            </w:pPr>
            <w:r>
              <w:rPr>
                <w:rFonts w:ascii="方正黑体_GBK" w:hAnsi="方正黑体_GBK" w:eastAsia="方正黑体_GBK" w:cs="宋体"/>
                <w:sz w:val="22"/>
                <w:szCs w:val="22"/>
              </w:rPr>
              <w:t>B份额：NYXY001008</w:t>
            </w:r>
          </w:p>
          <w:p w14:paraId="1198D80A">
            <w:pPr>
              <w:spacing w:line="240" w:lineRule="auto"/>
              <w:rPr>
                <w:sz w:val="28"/>
                <w:szCs w:val="28"/>
              </w:rPr>
            </w:pPr>
            <w:r>
              <w:rPr>
                <w:rFonts w:ascii="方正黑体_GBK" w:hAnsi="方正黑体_GBK" w:eastAsia="方正黑体_GBK" w:cs="宋体"/>
                <w:sz w:val="22"/>
                <w:szCs w:val="22"/>
              </w:rPr>
              <w:t>C份额：NYXY001009</w:t>
            </w:r>
          </w:p>
          <w:p w14:paraId="1EDF7798">
            <w:pPr>
              <w:spacing w:line="240" w:lineRule="auto"/>
              <w:rPr>
                <w:sz w:val="28"/>
                <w:szCs w:val="28"/>
              </w:rPr>
            </w:pPr>
            <w:r>
              <w:rPr>
                <w:rFonts w:ascii="方正黑体_GBK" w:hAnsi="方正黑体_GBK" w:eastAsia="方正黑体_GBK" w:cs="宋体"/>
                <w:sz w:val="22"/>
                <w:szCs w:val="22"/>
              </w:rPr>
              <w:t>F份额：NYXY001114</w:t>
            </w:r>
          </w:p>
          <w:p w14:paraId="62AEB747">
            <w:pPr>
              <w:spacing w:line="240" w:lineRule="auto"/>
              <w:rPr>
                <w:sz w:val="28"/>
                <w:szCs w:val="28"/>
              </w:rPr>
            </w:pPr>
            <w:r>
              <w:rPr>
                <w:rFonts w:ascii="方正黑体_GBK" w:hAnsi="方正黑体_GBK" w:eastAsia="方正黑体_GBK" w:cs="宋体"/>
                <w:sz w:val="22"/>
                <w:szCs w:val="22"/>
              </w:rPr>
              <w:t>J份额：NYXY001010</w:t>
            </w:r>
          </w:p>
          <w:p w14:paraId="231E1455">
            <w:pPr>
              <w:spacing w:line="240" w:lineRule="auto"/>
              <w:rPr>
                <w:sz w:val="28"/>
                <w:szCs w:val="28"/>
              </w:rPr>
            </w:pPr>
            <w:r>
              <w:rPr>
                <w:rFonts w:ascii="方正黑体_GBK" w:hAnsi="方正黑体_GBK" w:eastAsia="方正黑体_GBK" w:cs="宋体"/>
                <w:sz w:val="22"/>
                <w:szCs w:val="22"/>
              </w:rPr>
              <w:t>L份额：NYXY001011</w:t>
            </w:r>
          </w:p>
          <w:p w14:paraId="7762E7A4">
            <w:pPr>
              <w:spacing w:line="240" w:lineRule="auto"/>
              <w:rPr>
                <w:sz w:val="28"/>
                <w:szCs w:val="28"/>
              </w:rPr>
            </w:pPr>
            <w:r>
              <w:rPr>
                <w:rFonts w:ascii="方正黑体_GBK" w:hAnsi="方正黑体_GBK" w:eastAsia="方正黑体_GBK" w:cs="宋体"/>
                <w:sz w:val="22"/>
                <w:szCs w:val="22"/>
              </w:rPr>
              <w:t>B2份额：NYXY001116</w:t>
            </w:r>
          </w:p>
          <w:p w14:paraId="1D5925B8">
            <w:pPr>
              <w:spacing w:line="240" w:lineRule="auto"/>
              <w:rPr>
                <w:sz w:val="28"/>
                <w:szCs w:val="28"/>
              </w:rPr>
            </w:pPr>
            <w:r>
              <w:rPr>
                <w:rFonts w:ascii="方正黑体_GBK" w:hAnsi="方正黑体_GBK" w:eastAsia="方正黑体_GBK" w:cs="宋体"/>
                <w:sz w:val="22"/>
                <w:szCs w:val="22"/>
              </w:rPr>
              <w:t>C2份额：NYXY001117</w:t>
            </w:r>
          </w:p>
          <w:p w14:paraId="0C29E5C1">
            <w:pPr>
              <w:spacing w:line="240" w:lineRule="auto"/>
              <w:rPr>
                <w:sz w:val="28"/>
                <w:szCs w:val="28"/>
              </w:rPr>
            </w:pPr>
            <w:r>
              <w:rPr>
                <w:rFonts w:ascii="方正黑体_GBK" w:hAnsi="方正黑体_GBK" w:eastAsia="方正黑体_GBK" w:cs="宋体"/>
                <w:sz w:val="22"/>
                <w:szCs w:val="22"/>
              </w:rPr>
              <w:t>Q份额：NYXY001012</w:t>
            </w:r>
          </w:p>
          <w:p w14:paraId="064000A1">
            <w:pPr>
              <w:spacing w:line="240" w:lineRule="auto"/>
              <w:rPr>
                <w:sz w:val="28"/>
                <w:szCs w:val="28"/>
              </w:rPr>
            </w:pPr>
            <w:r>
              <w:rPr>
                <w:rFonts w:ascii="方正黑体_GBK" w:hAnsi="方正黑体_GBK" w:eastAsia="方正黑体_GBK" w:cs="宋体"/>
                <w:sz w:val="22"/>
                <w:szCs w:val="22"/>
              </w:rPr>
              <w:t>Q2份额：NYXY001115</w:t>
            </w:r>
          </w:p>
          <w:p w14:paraId="13D34853">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38FC42E7">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36F54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44117778">
            <w:pPr>
              <w:spacing w:line="240" w:lineRule="auto"/>
              <w:rPr>
                <w:sz w:val="28"/>
                <w:szCs w:val="28"/>
              </w:rPr>
            </w:pPr>
            <w:r>
              <w:rPr>
                <w:rFonts w:ascii="方正黑体_GBK" w:hAnsi="方正黑体_GBK" w:eastAsia="方正黑体_GBK" w:cs="宋体"/>
                <w:sz w:val="22"/>
                <w:szCs w:val="22"/>
              </w:rPr>
              <w:t>全国</w:t>
            </w:r>
          </w:p>
        </w:tc>
      </w:tr>
      <w:tr w14:paraId="6C6BCC21">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2BAF6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2A977010">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34265E75">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D5DCD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33C539D9">
            <w:pPr>
              <w:spacing w:line="240" w:lineRule="auto"/>
              <w:rPr>
                <w:sz w:val="28"/>
                <w:szCs w:val="28"/>
              </w:rPr>
            </w:pPr>
            <w:r>
              <w:rPr>
                <w:rFonts w:ascii="方正黑体_GBK" w:hAnsi="方正黑体_GBK" w:eastAsia="方正黑体_GBK" w:cs="宋体"/>
                <w:sz w:val="22"/>
                <w:szCs w:val="22"/>
              </w:rPr>
              <w:t>本理财产品规模上限为100亿元。</w:t>
            </w:r>
          </w:p>
        </w:tc>
      </w:tr>
      <w:tr w14:paraId="0D0C67BD">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785E0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3BB38C92">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5B1E2C49">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16D5910F">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CE898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3208D02A">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7E274517">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交通银行股份有限公司、北京农村商业银行股份有限公司、青岛银行股份有限公司（除私行客户外的其他客户）、江苏常熟农村商业银行股份有限公司（1元起购）、江苏苏州农村商业银行股份有限公司、金华银行股份有限公司、江苏江南农村商业银行股份有限公司（除财富、代发薪客户和新资金客户外的其他客户）、蒙商银行股份有限公司（除财富客户外的其他客户）、广州农村商业银行股份有限公司、苏州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私行客户和私钻客户外的其他客户)、山西银行股份有限公司（amu增量等于0客户）、德州银行股份有限公司、云南红塔银行股份有限公司、宁夏银行股份有限公司、九江银行股份有限公司、湖北银行股份有限公司、海南银行股份有限公司、廊坊银行股份有限公司、乌鲁木齐银行股份有限公司、上海农村商业银行股份有限公司、湖州银行股份有限公司、桂林银行有限公司（除财富客户外的其他客户）、宁波通商银行股份有限公司、石嘴山银行股份有限公司（除财富客户外的其他客户）、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除临界客户外的其他客户）、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w:t>
            </w:r>
          </w:p>
          <w:p w14:paraId="5D816B0B">
            <w:pPr>
              <w:spacing w:line="240" w:lineRule="auto"/>
              <w:rPr>
                <w:sz w:val="28"/>
                <w:szCs w:val="28"/>
              </w:rPr>
            </w:pPr>
            <w:r>
              <w:rPr>
                <w:rFonts w:ascii="方正黑体_GBK" w:hAnsi="方正黑体_GBK" w:eastAsia="方正黑体_GBK" w:cs="宋体"/>
                <w:sz w:val="22"/>
                <w:szCs w:val="22"/>
              </w:rPr>
              <w:t>B份额：南京银行股份有限公司(新客或新资金或代发客户 )、江苏太仓农村商业银行股份有限公司、青岛银行股份有限公司(私行客户)、徽商银行股份有限公司、温州银行股份有限公司、江苏张家港农村商业银行股份有限公司、浙江民泰商业银行股份有限公司、广州银行股份有限公司、江苏常熟农村商业银行股份有限公司(1万元起购)、江苏江南农村商业银行股份有限公司(财富客户)、长安银行股份有限公司、秦皇岛银行股份有限公司、齐鲁银行股份有限公司(白金/私行客户)、天津农村商业银行股份有限公司(企业拓展客户)、山西银行股份有限公司（aum增量大于5万元小于15万元客户）、兰州银行股份有限公司、甘肃银行股份有限公司、东营银行股份有限公司、桂林银行股份有限公司（财富客户）、石嘴山银行股份有限公司（财富客户）、永丰银行(中国)有限公司、江苏高淳农村商业银行股份有限公司、江苏新沂农村商业银行股份有限公司（1元起购）、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w:t>
            </w:r>
          </w:p>
          <w:p w14:paraId="1E1EE038">
            <w:pPr>
              <w:spacing w:line="240" w:lineRule="auto"/>
              <w:rPr>
                <w:sz w:val="28"/>
                <w:szCs w:val="28"/>
              </w:rPr>
            </w:pPr>
            <w:r>
              <w:rPr>
                <w:rFonts w:ascii="方正黑体_GBK" w:hAnsi="方正黑体_GBK" w:eastAsia="方正黑体_GBK" w:cs="宋体"/>
                <w:sz w:val="22"/>
                <w:szCs w:val="22"/>
              </w:rPr>
              <w:t>C份额：南京银行股份有限公司(对公客户)、江苏江南农村商业银行股份有限公司(代发薪客户和新资金客户)、蒙商银行股份有限公司（财富客户）、长沙银行股份有限公司、郑州银行股份有限公司、泰安银行股份有限公司、齐鲁银行股份有限公司(财富客户)、天津农村商业银行股份有限公司(个人新客)、山西银行股份有限公司(aum增量大于40万元客户)、江苏泰兴农村商业银行股份有限公司、江苏响水农村商业银行股份有限公司(50万元起购)、江苏靖江农村商业银行股份有限公司、江苏新沂农村商业银行股份有限公司（30万元起购）、江苏扬州农村商业银行股份有限公司（临界客户）、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仪征农村商业银行股份有限公司(50万元起购)、江苏启东农村商业银行股份有限公司、枣庄银行股份有限公司。</w:t>
            </w:r>
          </w:p>
          <w:p w14:paraId="71BE8838">
            <w:pPr>
              <w:spacing w:line="240" w:lineRule="auto"/>
              <w:rPr>
                <w:sz w:val="28"/>
                <w:szCs w:val="28"/>
              </w:rPr>
            </w:pPr>
            <w:r>
              <w:rPr>
                <w:rFonts w:ascii="方正黑体_GBK" w:hAnsi="方正黑体_GBK" w:eastAsia="方正黑体_GBK" w:cs="宋体"/>
                <w:sz w:val="22"/>
                <w:szCs w:val="22"/>
              </w:rPr>
              <w:t>F份额：兴业银行股份有限公司。</w:t>
            </w:r>
          </w:p>
          <w:p w14:paraId="7309D3A2">
            <w:pPr>
              <w:spacing w:line="240" w:lineRule="auto"/>
              <w:rPr>
                <w:sz w:val="28"/>
                <w:szCs w:val="28"/>
              </w:rPr>
            </w:pPr>
            <w:r>
              <w:rPr>
                <w:rFonts w:ascii="方正黑体_GBK" w:hAnsi="方正黑体_GBK" w:eastAsia="方正黑体_GBK" w:cs="宋体"/>
                <w:sz w:val="22"/>
                <w:szCs w:val="22"/>
              </w:rPr>
              <w:t>J份额：昆山鹿城村镇银行股份有限公司。</w:t>
            </w:r>
          </w:p>
          <w:p w14:paraId="39CCF4D9">
            <w:pPr>
              <w:spacing w:line="240" w:lineRule="auto"/>
              <w:rPr>
                <w:sz w:val="28"/>
                <w:szCs w:val="28"/>
              </w:rPr>
            </w:pPr>
            <w:r>
              <w:rPr>
                <w:rFonts w:ascii="方正黑体_GBK" w:hAnsi="方正黑体_GBK" w:eastAsia="方正黑体_GBK" w:cs="宋体"/>
                <w:sz w:val="22"/>
                <w:szCs w:val="22"/>
              </w:rPr>
              <w:t>L份额：天津农村商业银行股份有限公司(私钻客户)。</w:t>
            </w:r>
          </w:p>
          <w:p w14:paraId="00ACB68B">
            <w:pPr>
              <w:spacing w:line="240" w:lineRule="auto"/>
              <w:rPr>
                <w:sz w:val="28"/>
                <w:szCs w:val="28"/>
              </w:rPr>
            </w:pPr>
            <w:r>
              <w:rPr>
                <w:rFonts w:ascii="方正黑体_GBK" w:hAnsi="方正黑体_GBK" w:eastAsia="方正黑体_GBK" w:cs="宋体"/>
                <w:sz w:val="22"/>
                <w:szCs w:val="22"/>
              </w:rPr>
              <w:t>B2份额：山西银行股份有限公司（aum增量大于0小于5万元客户）。</w:t>
            </w:r>
          </w:p>
          <w:p w14:paraId="6D03A7D0">
            <w:pPr>
              <w:spacing w:line="240" w:lineRule="auto"/>
              <w:rPr>
                <w:sz w:val="28"/>
                <w:szCs w:val="28"/>
              </w:rPr>
            </w:pPr>
            <w:r>
              <w:rPr>
                <w:rFonts w:ascii="方正黑体_GBK" w:hAnsi="方正黑体_GBK" w:eastAsia="方正黑体_GBK" w:cs="宋体"/>
                <w:sz w:val="22"/>
                <w:szCs w:val="22"/>
              </w:rPr>
              <w:t>C2份额：山西银行股份有限公司（aum增量大于15万元小于40万元客户）。</w:t>
            </w:r>
          </w:p>
          <w:p w14:paraId="71761040">
            <w:pPr>
              <w:spacing w:line="240" w:lineRule="auto"/>
              <w:rPr>
                <w:sz w:val="28"/>
                <w:szCs w:val="28"/>
              </w:rPr>
            </w:pPr>
            <w:r>
              <w:rPr>
                <w:rFonts w:ascii="方正黑体_GBK" w:hAnsi="方正黑体_GBK" w:eastAsia="方正黑体_GBK" w:cs="宋体"/>
                <w:sz w:val="22"/>
                <w:szCs w:val="22"/>
              </w:rPr>
              <w:t>Q份额：天津农村商业银行股份有限公司(私行客户)。</w:t>
            </w:r>
          </w:p>
          <w:p w14:paraId="70551C72">
            <w:pPr>
              <w:spacing w:line="240" w:lineRule="auto"/>
              <w:rPr>
                <w:sz w:val="28"/>
                <w:szCs w:val="28"/>
              </w:rPr>
            </w:pPr>
            <w:r>
              <w:rPr>
                <w:rFonts w:ascii="方正黑体_GBK" w:hAnsi="方正黑体_GBK" w:eastAsia="方正黑体_GBK" w:cs="宋体"/>
                <w:sz w:val="22"/>
                <w:szCs w:val="22"/>
              </w:rPr>
              <w:t>Q2份额：中国银行股份有限公司。</w:t>
            </w:r>
          </w:p>
          <w:p w14:paraId="4DFEDAAC">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038F9FB8">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7C8CE783">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73F05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6B74146D">
            <w:pPr>
              <w:spacing w:line="240" w:lineRule="auto"/>
              <w:rPr>
                <w:sz w:val="28"/>
                <w:szCs w:val="28"/>
              </w:rPr>
            </w:pPr>
            <w:r>
              <w:rPr>
                <w:rFonts w:ascii="方正黑体_GBK" w:hAnsi="方正黑体_GBK" w:eastAsia="方正黑体_GBK" w:cs="宋体"/>
                <w:sz w:val="22"/>
                <w:szCs w:val="22"/>
              </w:rPr>
              <w:t>A份额/B份额/C份额/F份额/J份额/L份额/B2份额/C2份额/Q份额/Q2份额：</w:t>
            </w:r>
          </w:p>
          <w:p w14:paraId="17E82D2E">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5200A93A">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64D3B9DB">
        <w:trPr>
          <w:trHeight w:val="358"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EF53291">
            <w:pPr>
              <w:keepNext w:val="0"/>
              <w:keepLines w:val="0"/>
              <w:pageBreakBefore w:val="0"/>
              <w:widowControl/>
              <w:suppressLineNumbers w:val="0"/>
              <w:suppressAutoHyphens w:val="0"/>
              <w:spacing w:line="240" w:lineRule="auto"/>
              <w:jc w:val="left"/>
              <w:rPr>
                <w:rFonts w:ascii="方正黑体_GBK" w:hAnsi="方正黑体_GBK" w:eastAsia="方正黑体_GBK"/>
                <w:kern w:val="0"/>
                <w:sz w:val="22"/>
                <w:szCs w:val="22"/>
              </w:rPr>
            </w:pPr>
            <w:r>
              <w:rPr>
                <w:rFonts w:hint="eastAsia" w:ascii="方正黑体_GBK" w:hAnsi="方正黑体_GBK" w:eastAsia="方正黑体_GBK"/>
                <w:kern w:val="0"/>
                <w:sz w:val="22"/>
                <w:szCs w:val="22"/>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00C612B1">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20B95176">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509CFD36">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FBEFA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2C903CDE">
            <w:pPr>
              <w:spacing w:line="240" w:lineRule="auto"/>
              <w:jc w:val="left"/>
              <w:rPr>
                <w:sz w:val="28"/>
                <w:szCs w:val="28"/>
              </w:rPr>
            </w:pPr>
            <w:r>
              <w:rPr>
                <w:rFonts w:ascii="方正黑体_GBK" w:hAnsi="方正黑体_GBK" w:eastAsia="方正黑体_GBK" w:cs="宋体"/>
                <w:color w:val="000000"/>
                <w:sz w:val="22"/>
                <w:szCs w:val="22"/>
              </w:rPr>
              <w:t>2026年06月17日 09:00—2026年06月23日 17:00</w:t>
            </w:r>
          </w:p>
        </w:tc>
      </w:tr>
      <w:tr w14:paraId="67ABDA52">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74A53D5">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5E9F7560">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015524C4">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E5AB379">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0BDFD80C">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748A792C">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E9BD6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070926A2">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2026年06月24日</w:t>
            </w:r>
          </w:p>
        </w:tc>
      </w:tr>
      <w:tr w14:paraId="50BB6079">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0AB3A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5EE3813C">
            <w:pPr>
              <w:spacing w:line="240" w:lineRule="auto"/>
              <w:rPr>
                <w:sz w:val="28"/>
                <w:szCs w:val="28"/>
              </w:rPr>
            </w:pPr>
            <w:r>
              <w:rPr>
                <w:rFonts w:ascii="方正黑体_GBK" w:hAnsi="方正黑体_GBK" w:eastAsia="方正黑体_GBK" w:cs="宋体"/>
                <w:sz w:val="22"/>
                <w:szCs w:val="22"/>
              </w:rPr>
              <w:t>2026年06月24日—实际到期日（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196天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150EF7B7">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770D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0C384C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2027年01月06日</w:t>
            </w:r>
          </w:p>
        </w:tc>
      </w:tr>
      <w:tr w14:paraId="60CE4092">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56E743E">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2F36C8BA">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1DACAC12">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AD409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32E302EE">
            <w:pPr>
              <w:spacing w:line="240" w:lineRule="auto"/>
              <w:rPr>
                <w:sz w:val="28"/>
                <w:szCs w:val="28"/>
              </w:rPr>
            </w:pPr>
            <w:r>
              <w:rPr>
                <w:rFonts w:ascii="方正黑体_GBK" w:hAnsi="方正黑体_GBK" w:eastAsia="方正黑体_GBK" w:cs="宋体"/>
                <w:sz w:val="22"/>
                <w:szCs w:val="22"/>
              </w:rPr>
              <w:t>本理财产品存续期间不进行分红。</w:t>
            </w:r>
          </w:p>
          <w:p w14:paraId="71A1F316">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6E4F969E">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A8D65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258F8E79">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25EF67CA">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3C784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43708AA6">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088288F7">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632CF52C">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55946E19">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452A9C33">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52249919">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2DFD3AD5">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37234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27FF591E">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1716C811">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4DC833A9">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D9EAB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1C5D649D">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优先投资于环保、节能、清洁能源、绿色交通、绿色建筑等绿色环保产业相关的资产。</w:t>
            </w:r>
          </w:p>
        </w:tc>
      </w:tr>
      <w:tr w14:paraId="6FD9E4D9">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1F89FCB">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353CD79C">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313012C5">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4C1F0828">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15EC7415">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314DE41C">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0E9F7E5F">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78E7A1E7">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47FBAEA6">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084D17A0">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62F8457D">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2CC58C33">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48DE066E">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3B39B285">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02D6A5F5">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48F6B94A">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2C93E170">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7492287A">
            <w:pPr>
              <w:spacing w:line="240" w:lineRule="auto"/>
              <w:rPr>
                <w:sz w:val="28"/>
                <w:szCs w:val="28"/>
              </w:rPr>
            </w:pPr>
            <w:r>
              <w:rPr>
                <w:rFonts w:ascii="方正黑体_GBK" w:hAnsi="方正黑体_GBK" w:eastAsia="方正黑体_GBK" w:cs="宋体"/>
                <w:sz w:val="22"/>
                <w:szCs w:val="22"/>
              </w:rPr>
              <w:t>16.同业借款：资产类型为南银理财有限责任公司向持牌金融机构发放的同业借款，资产到期日不超过理财产品到期日，融资人为中国中信金融资产管理股份有限公司。</w:t>
            </w:r>
          </w:p>
          <w:p w14:paraId="23E0110B">
            <w:pPr>
              <w:spacing w:line="240" w:lineRule="auto"/>
              <w:rPr>
                <w:sz w:val="28"/>
                <w:szCs w:val="28"/>
              </w:rPr>
            </w:pPr>
            <w:r>
              <w:rPr>
                <w:rFonts w:ascii="方正黑体_GBK" w:hAnsi="方正黑体_GBK" w:eastAsia="方正黑体_GBK" w:cs="宋体"/>
                <w:sz w:val="22"/>
                <w:szCs w:val="22"/>
              </w:rPr>
              <w:t>17.同业借款：资产类型为南银理财有限责任公司向持牌金融机构发放的同业借款，资产到期日不超过理财产品到期日，融资人为中国东方资产管理股份有限公司。</w:t>
            </w:r>
          </w:p>
          <w:p w14:paraId="2E9CC9E1">
            <w:pPr>
              <w:spacing w:line="240" w:lineRule="auto"/>
              <w:rPr>
                <w:sz w:val="28"/>
                <w:szCs w:val="28"/>
              </w:rPr>
            </w:pPr>
            <w:r>
              <w:rPr>
                <w:rFonts w:ascii="方正黑体_GBK" w:hAnsi="方正黑体_GBK" w:eastAsia="方正黑体_GBK" w:cs="宋体"/>
                <w:sz w:val="22"/>
                <w:szCs w:val="22"/>
              </w:rPr>
              <w:t>18.同业借款：资产类型为南银理财有限责任公司向持牌金融机构发放的同业借款，资产到期日不超过理财产品到期日，融资人为中国信达资产管理股份有限公司。</w:t>
            </w:r>
          </w:p>
          <w:p w14:paraId="3AED2D7A">
            <w:pPr>
              <w:spacing w:line="240" w:lineRule="auto"/>
              <w:rPr>
                <w:sz w:val="28"/>
                <w:szCs w:val="28"/>
              </w:rPr>
            </w:pPr>
            <w:r>
              <w:rPr>
                <w:rFonts w:ascii="方正黑体_GBK" w:hAnsi="方正黑体_GBK" w:eastAsia="方正黑体_GBK" w:cs="宋体"/>
                <w:sz w:val="22"/>
                <w:szCs w:val="22"/>
              </w:rPr>
              <w:t>19.同业借款：资产类型为南银理财有限责任公司向持牌金融机构发放的同业借款，资产到期日不超过理财产品到期日，融资人为中国长城资产管理股份有限公司。</w:t>
            </w:r>
          </w:p>
          <w:p w14:paraId="4134E92A">
            <w:pPr>
              <w:spacing w:line="240" w:lineRule="auto"/>
              <w:jc w:val="left"/>
              <w:rPr>
                <w:sz w:val="28"/>
                <w:szCs w:val="28"/>
              </w:rPr>
            </w:pPr>
            <w:r>
              <w:rPr>
                <w:rFonts w:ascii="方正黑体_GBK" w:hAnsi="方正黑体_GBK" w:eastAsia="方正黑体_GBK" w:cs="宋体"/>
                <w:sz w:val="22"/>
                <w:szCs w:val="22"/>
              </w:rPr>
              <w:t>20.  券商收益凭证：资产类型为证券公司发行的收益凭证，资产到期日不超过理财产品到期日，融资人为华宝证券股份有限公司，融资人评级为AA+（评级机构为联合资信评估股份有限公司）。</w:t>
            </w:r>
          </w:p>
          <w:p w14:paraId="64FDF5B2">
            <w:pPr>
              <w:spacing w:line="240" w:lineRule="auto"/>
              <w:jc w:val="left"/>
              <w:rPr>
                <w:sz w:val="28"/>
                <w:szCs w:val="28"/>
              </w:rPr>
            </w:pPr>
            <w:r>
              <w:rPr>
                <w:rFonts w:ascii="方正黑体_GBK" w:hAnsi="方正黑体_GBK" w:eastAsia="方正黑体_GBK" w:cs="宋体"/>
                <w:sz w:val="22"/>
                <w:szCs w:val="22"/>
              </w:rPr>
              <w:t>21.  券商收益凭证：资产类型为证券公司发行的收益凭证，资产到期日不超过理财产品到期日，融资人为上海证券有限责任公司，融资人评级为AAA（评级机构为上海新世纪资信评估投资服务有限公司）。</w:t>
            </w:r>
          </w:p>
          <w:p w14:paraId="39A87F0F">
            <w:pPr>
              <w:spacing w:line="240" w:lineRule="auto"/>
              <w:jc w:val="left"/>
              <w:rPr>
                <w:sz w:val="28"/>
                <w:szCs w:val="28"/>
              </w:rPr>
            </w:pPr>
            <w:r>
              <w:rPr>
                <w:rFonts w:ascii="方正黑体_GBK" w:hAnsi="方正黑体_GBK" w:eastAsia="方正黑体_GBK" w:cs="宋体"/>
                <w:sz w:val="22"/>
                <w:szCs w:val="22"/>
              </w:rPr>
              <w:t>22.  券商收益凭证：资产类型为证券公司发行的收益凭证，资产到期日不超过理财产品到期日，融资人为山西证券股份有限公司，融资人评级为AAA（评级机构为中诚信国际信用评级有限责任公司）。</w:t>
            </w:r>
          </w:p>
          <w:p w14:paraId="5F28FA9B">
            <w:pPr>
              <w:spacing w:line="240" w:lineRule="auto"/>
              <w:jc w:val="left"/>
              <w:rPr>
                <w:sz w:val="28"/>
                <w:szCs w:val="28"/>
              </w:rPr>
            </w:pPr>
            <w:r>
              <w:rPr>
                <w:rFonts w:ascii="方正黑体_GBK" w:hAnsi="方正黑体_GBK" w:eastAsia="方正黑体_GBK" w:cs="宋体"/>
                <w:sz w:val="22"/>
                <w:szCs w:val="22"/>
              </w:rPr>
              <w:t>23.  券商收益凭证：资产类型为证券公司发行的收益凭证，资产到期日不超过理财产品到期日，融资人为中银国际证券股份有限公司，融资人评级为AAA（评级机构为中诚信国际信用评级有限责任公司）。</w:t>
            </w:r>
          </w:p>
          <w:p w14:paraId="5F2008A7">
            <w:pPr>
              <w:spacing w:line="240" w:lineRule="auto"/>
              <w:jc w:val="left"/>
              <w:rPr>
                <w:sz w:val="28"/>
                <w:szCs w:val="28"/>
              </w:rPr>
            </w:pPr>
            <w:r>
              <w:rPr>
                <w:rFonts w:ascii="方正黑体_GBK" w:hAnsi="方正黑体_GBK" w:eastAsia="方正黑体_GBK" w:cs="宋体"/>
                <w:sz w:val="22"/>
                <w:szCs w:val="22"/>
              </w:rPr>
              <w:t>24.  券商收益凭证：资产类型为证券公司发行的收益凭证，资产到期日不超过理财产品到期日，融资人为首创证券股份有限公司，融资人评级为AAA（评级机构为中诚信国际信用评级有限责任公司）。</w:t>
            </w:r>
          </w:p>
          <w:p w14:paraId="55CF8E84">
            <w:pPr>
              <w:spacing w:line="240" w:lineRule="auto"/>
              <w:jc w:val="left"/>
              <w:rPr>
                <w:sz w:val="28"/>
                <w:szCs w:val="28"/>
              </w:rPr>
            </w:pPr>
            <w:r>
              <w:rPr>
                <w:rFonts w:ascii="方正黑体_GBK" w:hAnsi="方正黑体_GBK" w:eastAsia="方正黑体_GBK" w:cs="宋体"/>
                <w:sz w:val="22"/>
                <w:szCs w:val="22"/>
              </w:rPr>
              <w:t>25.  券商收益凭证：资产类型为证券公司发行的收益凭证，资产到期日不超过理财产品到期日，融资人为国泰海通证券股份有限公司，融资人评级为AAA（评级机构为上海新世纪资信评估投资服务有限公司）。</w:t>
            </w:r>
          </w:p>
          <w:p w14:paraId="63E5BF3C">
            <w:pPr>
              <w:spacing w:line="240" w:lineRule="auto"/>
              <w:jc w:val="left"/>
              <w:rPr>
                <w:sz w:val="28"/>
                <w:szCs w:val="28"/>
              </w:rPr>
            </w:pPr>
            <w:r>
              <w:rPr>
                <w:rFonts w:ascii="方正黑体_GBK" w:hAnsi="方正黑体_GBK" w:eastAsia="方正黑体_GBK" w:cs="宋体"/>
                <w:sz w:val="22"/>
                <w:szCs w:val="22"/>
              </w:rPr>
              <w:t>26.  券商收益凭证：资产类型为证券公司发行的收益凭证，资产到期日不超过理财产品到期日，融资人为中信证券股份有限公司，融资人评级为AAA（评级机构为中诚信国际信用评级有限责任公司）。</w:t>
            </w:r>
          </w:p>
          <w:p w14:paraId="1296E35B">
            <w:pPr>
              <w:spacing w:line="240" w:lineRule="auto"/>
              <w:jc w:val="left"/>
              <w:rPr>
                <w:sz w:val="28"/>
                <w:szCs w:val="28"/>
              </w:rPr>
            </w:pPr>
            <w:r>
              <w:rPr>
                <w:rFonts w:ascii="方正黑体_GBK" w:hAnsi="方正黑体_GBK" w:eastAsia="方正黑体_GBK" w:cs="宋体"/>
                <w:sz w:val="22"/>
                <w:szCs w:val="22"/>
              </w:rPr>
              <w:t>27.  券商收益凭证：资产类型为证券公司发行的收益凭证，资产到期日不超过理财产品到期日，融资人为华泰证券股份有限公司，融资人评级为AAA（评级机构为上海新世纪资信评估投资服务有限公司）。</w:t>
            </w:r>
          </w:p>
          <w:p w14:paraId="08688601">
            <w:pPr>
              <w:spacing w:line="240" w:lineRule="auto"/>
              <w:jc w:val="left"/>
              <w:rPr>
                <w:sz w:val="28"/>
                <w:szCs w:val="28"/>
              </w:rPr>
            </w:pPr>
            <w:r>
              <w:rPr>
                <w:rFonts w:ascii="方正黑体_GBK" w:hAnsi="方正黑体_GBK" w:eastAsia="方正黑体_GBK" w:cs="宋体"/>
                <w:sz w:val="22"/>
                <w:szCs w:val="22"/>
              </w:rPr>
              <w:t>28.  券商收益凭证：资产类型为证券公司发行的收益凭证，资产到期日不超过理财产品到期日，融资人为中信建投证券股份有限公司，融资人评级为AAA（评级机构为中诚信国际信用评级有限责任公司）。</w:t>
            </w:r>
          </w:p>
          <w:p w14:paraId="368F6AF4">
            <w:pPr>
              <w:spacing w:line="240" w:lineRule="auto"/>
              <w:jc w:val="left"/>
              <w:rPr>
                <w:sz w:val="28"/>
                <w:szCs w:val="28"/>
              </w:rPr>
            </w:pPr>
            <w:r>
              <w:rPr>
                <w:rFonts w:ascii="方正黑体_GBK" w:hAnsi="方正黑体_GBK" w:eastAsia="方正黑体_GBK" w:cs="宋体"/>
                <w:sz w:val="22"/>
                <w:szCs w:val="22"/>
              </w:rPr>
              <w:t>29.  券商收益凭证：资产类型为证券公司发行的收益凭证，资产到期日不超过理财产品到期日，融资人为中国银河证券股份有限公司，融资人评级为AAA（评级机构为联合资信评估股份有限公司）。</w:t>
            </w:r>
          </w:p>
          <w:p w14:paraId="041E18CF">
            <w:pPr>
              <w:spacing w:line="240" w:lineRule="auto"/>
              <w:jc w:val="left"/>
              <w:rPr>
                <w:sz w:val="28"/>
                <w:szCs w:val="28"/>
              </w:rPr>
            </w:pPr>
            <w:r>
              <w:rPr>
                <w:rFonts w:ascii="方正黑体_GBK" w:hAnsi="方正黑体_GBK" w:eastAsia="方正黑体_GBK" w:cs="宋体"/>
                <w:sz w:val="22"/>
                <w:szCs w:val="22"/>
              </w:rPr>
              <w:t>30.  券商收益凭证：资产类型为证券公司发行的收益凭证，资产到期日不超过理财产品到期日，融资人为申万宏源证券有限公司，融资人评级为AAA（评级机构为联合资信评估股份有限公司）。</w:t>
            </w:r>
          </w:p>
          <w:p w14:paraId="28FD6538">
            <w:pPr>
              <w:spacing w:line="240" w:lineRule="auto"/>
              <w:jc w:val="left"/>
              <w:rPr>
                <w:sz w:val="28"/>
                <w:szCs w:val="28"/>
              </w:rPr>
            </w:pPr>
            <w:r>
              <w:rPr>
                <w:rFonts w:ascii="方正黑体_GBK" w:hAnsi="方正黑体_GBK" w:eastAsia="方正黑体_GBK" w:cs="宋体"/>
                <w:sz w:val="22"/>
                <w:szCs w:val="22"/>
              </w:rPr>
              <w:t>31.  券商收益凭证：资产类型为证券公司发行的收益凭证，资产到期日不超过理财产品到期日，融资人为中国国际金融股份有限公司，融资人评级为AAA（评级机构为中诚信国际信用评级有限责任公司）。</w:t>
            </w:r>
          </w:p>
          <w:p w14:paraId="34C441D2">
            <w:pPr>
              <w:spacing w:line="240" w:lineRule="auto"/>
              <w:jc w:val="left"/>
              <w:rPr>
                <w:sz w:val="28"/>
                <w:szCs w:val="28"/>
              </w:rPr>
            </w:pPr>
            <w:r>
              <w:rPr>
                <w:rFonts w:ascii="方正黑体_GBK" w:hAnsi="方正黑体_GBK" w:eastAsia="方正黑体_GBK" w:cs="宋体"/>
                <w:sz w:val="22"/>
                <w:szCs w:val="22"/>
              </w:rPr>
              <w:t>32.  券商收益凭证：资产类型为证券公司发行的收益凭证，资产到期日不超过理财产品到期日，融资人为招商证券股份有限公司，融资人评级为AAA（评级机构为联合资信评估股份有限公司）。</w:t>
            </w:r>
          </w:p>
          <w:p w14:paraId="096F3BCF">
            <w:pPr>
              <w:spacing w:line="240" w:lineRule="auto"/>
              <w:jc w:val="left"/>
              <w:rPr>
                <w:sz w:val="28"/>
                <w:szCs w:val="28"/>
              </w:rPr>
            </w:pPr>
            <w:r>
              <w:rPr>
                <w:rFonts w:ascii="方正黑体_GBK" w:hAnsi="方正黑体_GBK" w:eastAsia="方正黑体_GBK" w:cs="宋体"/>
                <w:sz w:val="22"/>
                <w:szCs w:val="22"/>
              </w:rPr>
              <w:t>33.  券商收益凭证：资产类型为证券公司发行的收益凭证，资产到期日不超过理财产品到期日，融资人为平安证券股份有限公司，融资人评级为AAA（评级机构为中诚信国际信用评级有限责任公司）。</w:t>
            </w:r>
          </w:p>
          <w:p w14:paraId="4C9C8B95">
            <w:pPr>
              <w:spacing w:line="240" w:lineRule="auto"/>
              <w:jc w:val="left"/>
              <w:rPr>
                <w:sz w:val="28"/>
                <w:szCs w:val="28"/>
              </w:rPr>
            </w:pPr>
            <w:r>
              <w:rPr>
                <w:rFonts w:ascii="方正黑体_GBK" w:hAnsi="方正黑体_GBK" w:eastAsia="方正黑体_GBK" w:cs="宋体"/>
                <w:sz w:val="22"/>
                <w:szCs w:val="22"/>
              </w:rPr>
              <w:t>34.  券商收益凭证：资产类型为证券公司发行的收益凭证，资产到期日不超过理财产品到期日，融资人为广发证券股份有限公司，融资人评级为AAA（评级机构为中诚信国际信用评级有限责任公司）。</w:t>
            </w:r>
          </w:p>
          <w:p w14:paraId="1E8C3317">
            <w:pPr>
              <w:spacing w:line="240" w:lineRule="auto"/>
              <w:jc w:val="left"/>
              <w:rPr>
                <w:sz w:val="28"/>
                <w:szCs w:val="28"/>
              </w:rPr>
            </w:pPr>
            <w:r>
              <w:rPr>
                <w:rFonts w:ascii="方正黑体_GBK" w:hAnsi="方正黑体_GBK" w:eastAsia="方正黑体_GBK" w:cs="宋体"/>
                <w:sz w:val="22"/>
                <w:szCs w:val="22"/>
              </w:rPr>
              <w:t>35.  券商收益凭证：资产类型为证券公司发行的收益凭证，资产到期日不超过理财产品到期日，融资人为国信证券股份有限公司，融资人评级为AAA（评级机构为中诚信国际信用评级有限责任公司）。</w:t>
            </w:r>
          </w:p>
          <w:p w14:paraId="08DB1F3F">
            <w:pPr>
              <w:spacing w:line="240" w:lineRule="auto"/>
              <w:jc w:val="left"/>
              <w:rPr>
                <w:sz w:val="28"/>
                <w:szCs w:val="28"/>
              </w:rPr>
            </w:pPr>
            <w:r>
              <w:rPr>
                <w:rFonts w:ascii="方正黑体_GBK" w:hAnsi="方正黑体_GBK" w:eastAsia="方正黑体_GBK" w:cs="宋体"/>
                <w:sz w:val="22"/>
                <w:szCs w:val="22"/>
              </w:rPr>
              <w:t>36.  券商收益凭证：资产类型为证券公司发行的收益凭证，资产到期日不超过理财产品到期日，融资人为兴业证券股份有限公司，融资人评级为AAA（评级机构为联合资信评估股份有限公司）。</w:t>
            </w:r>
          </w:p>
          <w:p w14:paraId="53E4CA85">
            <w:pPr>
              <w:spacing w:line="240" w:lineRule="auto"/>
              <w:jc w:val="left"/>
              <w:rPr>
                <w:sz w:val="28"/>
                <w:szCs w:val="28"/>
              </w:rPr>
            </w:pPr>
            <w:r>
              <w:rPr>
                <w:rFonts w:ascii="方正黑体_GBK" w:hAnsi="方正黑体_GBK" w:eastAsia="方正黑体_GBK" w:cs="宋体"/>
                <w:sz w:val="22"/>
                <w:szCs w:val="22"/>
              </w:rPr>
              <w:t>37.  券商收益凭证：资产类型为证券公司发行的收益凭证，资产到期日不超过理财产品到期日，融资人为光大证券股份有限公司，融资人评级为AAA（评级机构为联合资信评估股份有限公司）。</w:t>
            </w:r>
          </w:p>
          <w:p w14:paraId="0717D19B">
            <w:pPr>
              <w:spacing w:line="240" w:lineRule="auto"/>
              <w:jc w:val="left"/>
              <w:rPr>
                <w:sz w:val="28"/>
                <w:szCs w:val="28"/>
              </w:rPr>
            </w:pPr>
            <w:r>
              <w:rPr>
                <w:rFonts w:ascii="方正黑体_GBK" w:hAnsi="方正黑体_GBK" w:eastAsia="方正黑体_GBK" w:cs="宋体"/>
                <w:sz w:val="22"/>
                <w:szCs w:val="22"/>
              </w:rPr>
              <w:t>38.  券商收益凭证：资产类型为证券公司发行的收益凭证，资产到期日不超过理财产品到期日，融资人为华鑫证券有限责任公司，融资人评级为AA+（评级机构为上海新世纪资信评估投资服务有限公司）。</w:t>
            </w:r>
          </w:p>
          <w:p w14:paraId="7AA0487E">
            <w:pPr>
              <w:spacing w:line="240" w:lineRule="auto"/>
              <w:jc w:val="left"/>
              <w:rPr>
                <w:sz w:val="28"/>
                <w:szCs w:val="28"/>
              </w:rPr>
            </w:pPr>
            <w:r>
              <w:rPr>
                <w:rFonts w:ascii="方正黑体_GBK" w:hAnsi="方正黑体_GBK" w:eastAsia="方正黑体_GBK" w:cs="宋体"/>
                <w:sz w:val="22"/>
                <w:szCs w:val="22"/>
              </w:rPr>
              <w:t>39.  券商收益凭证：资产类型为证券公司发行的收益凭证，资产到期日不超过理财产品到期日，融资人为财通证券股份有限公司，融资人评级为AAA（评级机构为中诚信国际信用评级有限责任公司）。</w:t>
            </w:r>
          </w:p>
          <w:p w14:paraId="2FFFF079">
            <w:pPr>
              <w:spacing w:line="240" w:lineRule="auto"/>
              <w:jc w:val="left"/>
              <w:rPr>
                <w:sz w:val="28"/>
                <w:szCs w:val="28"/>
              </w:rPr>
            </w:pPr>
            <w:r>
              <w:rPr>
                <w:rFonts w:ascii="方正黑体_GBK" w:hAnsi="方正黑体_GBK" w:eastAsia="方正黑体_GBK" w:cs="宋体"/>
                <w:sz w:val="22"/>
                <w:szCs w:val="22"/>
              </w:rPr>
              <w:t>40.  券商收益凭证：资产类型为证券公司发行的收益凭证，资产到期日不超过理财产品到期日，融资人为长江证券股份有限公司，融资人评级为AAA（评级机构为联合资信评估股份有限公司）。</w:t>
            </w:r>
          </w:p>
          <w:p w14:paraId="6A05BBCF">
            <w:pPr>
              <w:spacing w:line="240" w:lineRule="auto"/>
              <w:jc w:val="left"/>
              <w:rPr>
                <w:sz w:val="28"/>
                <w:szCs w:val="28"/>
              </w:rPr>
            </w:pPr>
            <w:r>
              <w:rPr>
                <w:rFonts w:ascii="方正黑体_GBK" w:hAnsi="方正黑体_GBK" w:eastAsia="方正黑体_GBK" w:cs="宋体"/>
                <w:sz w:val="22"/>
                <w:szCs w:val="22"/>
              </w:rPr>
              <w:t>41.  券商收益凭证：资产类型为证券公司发行的收益凭证，资产到期日不超过理财产品到期日，融资人为国金证券股份有限公司，融资人评级为AAA（评级机构为上海新世纪资信评估投资服务有限公司）。</w:t>
            </w:r>
          </w:p>
          <w:p w14:paraId="3895E850">
            <w:pPr>
              <w:spacing w:line="240" w:lineRule="auto"/>
              <w:jc w:val="left"/>
              <w:rPr>
                <w:sz w:val="28"/>
                <w:szCs w:val="28"/>
              </w:rPr>
            </w:pPr>
            <w:r>
              <w:rPr>
                <w:rFonts w:ascii="方正黑体_GBK" w:hAnsi="方正黑体_GBK" w:eastAsia="方正黑体_GBK" w:cs="宋体"/>
                <w:sz w:val="22"/>
                <w:szCs w:val="22"/>
              </w:rPr>
              <w:t>42.  券商收益凭证：资产类型为证券公司发行的收益凭证，资产到期日不超过理财产品到期日，融资人为东方证券股份有限公司，融资人评级为AAA（评级机构为中诚信国际信用评级有限责任公司）。</w:t>
            </w:r>
          </w:p>
          <w:p w14:paraId="4AAB9A2D">
            <w:pPr>
              <w:spacing w:line="240" w:lineRule="auto"/>
              <w:jc w:val="left"/>
              <w:rPr>
                <w:sz w:val="28"/>
                <w:szCs w:val="28"/>
              </w:rPr>
            </w:pPr>
            <w:r>
              <w:rPr>
                <w:rFonts w:ascii="方正黑体_GBK" w:hAnsi="方正黑体_GBK" w:eastAsia="方正黑体_GBK" w:cs="宋体"/>
                <w:sz w:val="22"/>
                <w:szCs w:val="22"/>
              </w:rPr>
              <w:t>43.  券商收益凭证：资产类型为证券公司发行的收益凭证，资产到期日不超过理财产品到期日，融资人为国投证券股份有限公司，融资人评级为AAA（评级机构为联合资信评估股份有限公司）。</w:t>
            </w:r>
          </w:p>
          <w:p w14:paraId="0AD07AD4">
            <w:pPr>
              <w:spacing w:line="240" w:lineRule="auto"/>
              <w:rPr>
                <w:sz w:val="28"/>
                <w:szCs w:val="28"/>
              </w:rPr>
            </w:pPr>
            <w:r>
              <w:rPr>
                <w:rFonts w:ascii="方正黑体_GBK" w:hAnsi="方正黑体_GBK" w:eastAsia="方正黑体_GBK" w:cs="宋体"/>
                <w:b/>
                <w:sz w:val="22"/>
                <w:szCs w:val="22"/>
              </w:rPr>
              <w:t>以上资产剩余期限均不超过产品期限。</w:t>
            </w:r>
          </w:p>
          <w:p w14:paraId="5E3C3F23">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7CC8A369">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863DC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3A79B51A">
            <w:pPr>
              <w:spacing w:line="240" w:lineRule="auto"/>
              <w:rPr>
                <w:sz w:val="28"/>
                <w:szCs w:val="28"/>
              </w:rPr>
            </w:pPr>
            <w:r>
              <w:rPr>
                <w:rFonts w:ascii="方正黑体_GBK" w:hAnsi="方正黑体_GBK" w:eastAsia="方正黑体_GBK" w:cs="宋体"/>
                <w:sz w:val="22"/>
                <w:szCs w:val="22"/>
              </w:rPr>
              <w:t>A份额：业绩比较基准为1.9%(年化)。</w:t>
            </w:r>
          </w:p>
          <w:p w14:paraId="13A24F53">
            <w:pPr>
              <w:spacing w:line="240" w:lineRule="auto"/>
              <w:rPr>
                <w:sz w:val="28"/>
                <w:szCs w:val="28"/>
              </w:rPr>
            </w:pPr>
            <w:r>
              <w:rPr>
                <w:rFonts w:ascii="方正黑体_GBK" w:hAnsi="方正黑体_GBK" w:eastAsia="方正黑体_GBK" w:cs="宋体"/>
                <w:sz w:val="22"/>
                <w:szCs w:val="22"/>
              </w:rPr>
              <w:t>B份额：业绩比较基准为2%(年化)。</w:t>
            </w:r>
          </w:p>
          <w:p w14:paraId="4F283DE1">
            <w:pPr>
              <w:spacing w:line="240" w:lineRule="auto"/>
              <w:rPr>
                <w:sz w:val="28"/>
                <w:szCs w:val="28"/>
              </w:rPr>
            </w:pPr>
            <w:r>
              <w:rPr>
                <w:rFonts w:ascii="方正黑体_GBK" w:hAnsi="方正黑体_GBK" w:eastAsia="方正黑体_GBK" w:cs="宋体"/>
                <w:sz w:val="22"/>
                <w:szCs w:val="22"/>
              </w:rPr>
              <w:t>C份额：业绩比较基准为2.1%(年化)。</w:t>
            </w:r>
          </w:p>
          <w:p w14:paraId="42856567">
            <w:pPr>
              <w:spacing w:line="240" w:lineRule="auto"/>
              <w:rPr>
                <w:sz w:val="28"/>
                <w:szCs w:val="28"/>
              </w:rPr>
            </w:pPr>
            <w:r>
              <w:rPr>
                <w:rFonts w:ascii="方正黑体_GBK" w:hAnsi="方正黑体_GBK" w:eastAsia="方正黑体_GBK" w:cs="宋体"/>
                <w:sz w:val="22"/>
                <w:szCs w:val="22"/>
              </w:rPr>
              <w:t>F份额：业绩比较基准为2%(年化)。</w:t>
            </w:r>
          </w:p>
          <w:p w14:paraId="00A7D8C2">
            <w:pPr>
              <w:spacing w:line="240" w:lineRule="auto"/>
              <w:rPr>
                <w:sz w:val="28"/>
                <w:szCs w:val="28"/>
              </w:rPr>
            </w:pPr>
            <w:r>
              <w:rPr>
                <w:rFonts w:ascii="方正黑体_GBK" w:hAnsi="方正黑体_GBK" w:eastAsia="方正黑体_GBK" w:cs="宋体"/>
                <w:sz w:val="22"/>
                <w:szCs w:val="22"/>
              </w:rPr>
              <w:t>J份额：业绩比较基准为1.9%(年化)。</w:t>
            </w:r>
          </w:p>
          <w:p w14:paraId="7DF0B090">
            <w:pPr>
              <w:spacing w:line="240" w:lineRule="auto"/>
              <w:rPr>
                <w:sz w:val="28"/>
                <w:szCs w:val="28"/>
              </w:rPr>
            </w:pPr>
            <w:r>
              <w:rPr>
                <w:rFonts w:ascii="方正黑体_GBK" w:hAnsi="方正黑体_GBK" w:eastAsia="方正黑体_GBK" w:cs="宋体"/>
                <w:sz w:val="22"/>
                <w:szCs w:val="22"/>
              </w:rPr>
              <w:t>L份额：业绩比较基准为2.15%(年化)。</w:t>
            </w:r>
          </w:p>
          <w:p w14:paraId="36441431">
            <w:pPr>
              <w:spacing w:line="240" w:lineRule="auto"/>
              <w:rPr>
                <w:sz w:val="28"/>
                <w:szCs w:val="28"/>
              </w:rPr>
            </w:pPr>
            <w:r>
              <w:rPr>
                <w:rFonts w:ascii="方正黑体_GBK" w:hAnsi="方正黑体_GBK" w:eastAsia="方正黑体_GBK" w:cs="宋体"/>
                <w:sz w:val="22"/>
                <w:szCs w:val="22"/>
              </w:rPr>
              <w:t>B2份额：业绩比较基准为1.95%(年化)。</w:t>
            </w:r>
          </w:p>
          <w:p w14:paraId="0ACB6FC2">
            <w:pPr>
              <w:spacing w:line="240" w:lineRule="auto"/>
              <w:rPr>
                <w:sz w:val="28"/>
                <w:szCs w:val="28"/>
              </w:rPr>
            </w:pPr>
            <w:r>
              <w:rPr>
                <w:rFonts w:ascii="方正黑体_GBK" w:hAnsi="方正黑体_GBK" w:eastAsia="方正黑体_GBK" w:cs="宋体"/>
                <w:sz w:val="22"/>
                <w:szCs w:val="22"/>
              </w:rPr>
              <w:t>C2份额：业绩比较基准为2.05%(年化)。</w:t>
            </w:r>
          </w:p>
          <w:p w14:paraId="7416782D">
            <w:pPr>
              <w:spacing w:line="240" w:lineRule="auto"/>
              <w:rPr>
                <w:sz w:val="28"/>
                <w:szCs w:val="28"/>
              </w:rPr>
            </w:pPr>
            <w:r>
              <w:rPr>
                <w:rFonts w:ascii="方正黑体_GBK" w:hAnsi="方正黑体_GBK" w:eastAsia="方正黑体_GBK" w:cs="宋体"/>
                <w:sz w:val="22"/>
                <w:szCs w:val="22"/>
              </w:rPr>
              <w:t>Q份额：业绩比较基准为2.05%(年化)。</w:t>
            </w:r>
          </w:p>
          <w:p w14:paraId="6131D67B">
            <w:pPr>
              <w:spacing w:line="240" w:lineRule="auto"/>
              <w:rPr>
                <w:sz w:val="28"/>
                <w:szCs w:val="28"/>
              </w:rPr>
            </w:pPr>
            <w:r>
              <w:rPr>
                <w:rFonts w:ascii="方正黑体_GBK" w:hAnsi="方正黑体_GBK" w:eastAsia="方正黑体_GBK" w:cs="宋体"/>
                <w:sz w:val="22"/>
                <w:szCs w:val="22"/>
              </w:rPr>
              <w:t>Q2份额：业绩比较基准为2.1%(年化)。</w:t>
            </w:r>
          </w:p>
          <w:p w14:paraId="5E0D09C0">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330E36C0">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3606541A">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787ACD87">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214B85A">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0A7F8A7C">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481E9BD8">
            <w:pPr>
              <w:spacing w:line="240" w:lineRule="auto"/>
              <w:rPr>
                <w:sz w:val="28"/>
                <w:szCs w:val="28"/>
              </w:rPr>
            </w:pPr>
            <w:r>
              <w:rPr>
                <w:rFonts w:ascii="方正黑体_GBK" w:hAnsi="方正黑体_GBK" w:eastAsia="方正黑体_GBK" w:cs="宋体"/>
                <w:b/>
                <w:sz w:val="22"/>
                <w:szCs w:val="22"/>
              </w:rPr>
              <w:t>赎回费：本理财产品暂不收取赎回费。</w:t>
            </w:r>
          </w:p>
          <w:p w14:paraId="18497E75">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048906D0">
            <w:pPr>
              <w:spacing w:line="240" w:lineRule="auto"/>
              <w:rPr>
                <w:sz w:val="28"/>
                <w:szCs w:val="28"/>
              </w:rPr>
            </w:pPr>
            <w:r>
              <w:rPr>
                <w:rFonts w:ascii="方正黑体_GBK" w:hAnsi="方正黑体_GBK" w:eastAsia="方正黑体_GBK" w:cs="宋体"/>
                <w:b/>
                <w:sz w:val="22"/>
                <w:szCs w:val="22"/>
              </w:rPr>
              <w:t>A份额：销售费年化0.2%</w:t>
            </w:r>
          </w:p>
          <w:p w14:paraId="3F2D1601">
            <w:pPr>
              <w:spacing w:line="240" w:lineRule="auto"/>
              <w:rPr>
                <w:sz w:val="28"/>
                <w:szCs w:val="28"/>
              </w:rPr>
            </w:pPr>
            <w:r>
              <w:rPr>
                <w:rFonts w:ascii="方正黑体_GBK" w:hAnsi="方正黑体_GBK" w:eastAsia="方正黑体_GBK" w:cs="宋体"/>
                <w:b/>
                <w:sz w:val="22"/>
                <w:szCs w:val="22"/>
              </w:rPr>
              <w:t>B份额：销售费年化0.15%</w:t>
            </w:r>
          </w:p>
          <w:p w14:paraId="4CF7DA8A">
            <w:pPr>
              <w:spacing w:line="240" w:lineRule="auto"/>
              <w:rPr>
                <w:sz w:val="28"/>
                <w:szCs w:val="28"/>
              </w:rPr>
            </w:pPr>
            <w:r>
              <w:rPr>
                <w:rFonts w:ascii="方正黑体_GBK" w:hAnsi="方正黑体_GBK" w:eastAsia="方正黑体_GBK" w:cs="宋体"/>
                <w:b/>
                <w:sz w:val="22"/>
                <w:szCs w:val="22"/>
              </w:rPr>
              <w:t>C份额：销售费年化0.05%</w:t>
            </w:r>
          </w:p>
          <w:p w14:paraId="0AF80C6F">
            <w:pPr>
              <w:spacing w:line="240" w:lineRule="auto"/>
              <w:rPr>
                <w:sz w:val="28"/>
                <w:szCs w:val="28"/>
              </w:rPr>
            </w:pPr>
            <w:r>
              <w:rPr>
                <w:rFonts w:ascii="方正黑体_GBK" w:hAnsi="方正黑体_GBK" w:eastAsia="方正黑体_GBK" w:cs="宋体"/>
                <w:b/>
                <w:sz w:val="22"/>
                <w:szCs w:val="22"/>
              </w:rPr>
              <w:t>F份额：销售费年化0.2%</w:t>
            </w:r>
          </w:p>
          <w:p w14:paraId="1BBE20B8">
            <w:pPr>
              <w:spacing w:line="240" w:lineRule="auto"/>
              <w:rPr>
                <w:sz w:val="28"/>
                <w:szCs w:val="28"/>
              </w:rPr>
            </w:pPr>
            <w:r>
              <w:rPr>
                <w:rFonts w:ascii="方正黑体_GBK" w:hAnsi="方正黑体_GBK" w:eastAsia="方正黑体_GBK" w:cs="宋体"/>
                <w:b/>
                <w:sz w:val="22"/>
                <w:szCs w:val="22"/>
              </w:rPr>
              <w:t>J份额：销售费年化0.2%</w:t>
            </w:r>
          </w:p>
          <w:p w14:paraId="41F33243">
            <w:pPr>
              <w:spacing w:line="240" w:lineRule="auto"/>
              <w:rPr>
                <w:sz w:val="28"/>
                <w:szCs w:val="28"/>
              </w:rPr>
            </w:pPr>
            <w:r>
              <w:rPr>
                <w:rFonts w:ascii="方正黑体_GBK" w:hAnsi="方正黑体_GBK" w:eastAsia="方正黑体_GBK" w:cs="宋体"/>
                <w:b/>
                <w:sz w:val="22"/>
                <w:szCs w:val="22"/>
              </w:rPr>
              <w:t>L份额：销售费年化0.05%</w:t>
            </w:r>
          </w:p>
          <w:p w14:paraId="5A74A933">
            <w:pPr>
              <w:spacing w:line="240" w:lineRule="auto"/>
              <w:rPr>
                <w:sz w:val="28"/>
                <w:szCs w:val="28"/>
              </w:rPr>
            </w:pPr>
            <w:r>
              <w:rPr>
                <w:rFonts w:ascii="方正黑体_GBK" w:hAnsi="方正黑体_GBK" w:eastAsia="方正黑体_GBK" w:cs="宋体"/>
                <w:b/>
                <w:sz w:val="22"/>
                <w:szCs w:val="22"/>
              </w:rPr>
              <w:t>B2份额：销售费年化0.25%</w:t>
            </w:r>
          </w:p>
          <w:p w14:paraId="4F4C010C">
            <w:pPr>
              <w:spacing w:line="240" w:lineRule="auto"/>
              <w:rPr>
                <w:sz w:val="28"/>
                <w:szCs w:val="28"/>
              </w:rPr>
            </w:pPr>
            <w:r>
              <w:rPr>
                <w:rFonts w:ascii="方正黑体_GBK" w:hAnsi="方正黑体_GBK" w:eastAsia="方正黑体_GBK" w:cs="宋体"/>
                <w:b/>
                <w:sz w:val="22"/>
                <w:szCs w:val="22"/>
              </w:rPr>
              <w:t>C2份额：销售费年化0.15%</w:t>
            </w:r>
          </w:p>
          <w:p w14:paraId="70C80A3A">
            <w:pPr>
              <w:spacing w:line="240" w:lineRule="auto"/>
              <w:rPr>
                <w:sz w:val="28"/>
                <w:szCs w:val="28"/>
              </w:rPr>
            </w:pPr>
            <w:r>
              <w:rPr>
                <w:rFonts w:ascii="方正黑体_GBK" w:hAnsi="方正黑体_GBK" w:eastAsia="方正黑体_GBK" w:cs="宋体"/>
                <w:b/>
                <w:sz w:val="22"/>
                <w:szCs w:val="22"/>
              </w:rPr>
              <w:t>Q份额：销售费年化0.1%</w:t>
            </w:r>
          </w:p>
          <w:p w14:paraId="13F80D2B">
            <w:pPr>
              <w:spacing w:line="240" w:lineRule="auto"/>
              <w:rPr>
                <w:sz w:val="28"/>
                <w:szCs w:val="28"/>
              </w:rPr>
            </w:pPr>
            <w:r>
              <w:rPr>
                <w:rFonts w:ascii="方正黑体_GBK" w:hAnsi="方正黑体_GBK" w:eastAsia="方正黑体_GBK" w:cs="宋体"/>
                <w:b/>
                <w:sz w:val="22"/>
                <w:szCs w:val="22"/>
              </w:rPr>
              <w:t>Q2份额：销售费年化0.1%</w:t>
            </w:r>
          </w:p>
          <w:p w14:paraId="11CF87DF">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782AC198">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02C0A51E">
            <w:pPr>
              <w:spacing w:line="240" w:lineRule="auto"/>
              <w:rPr>
                <w:sz w:val="28"/>
                <w:szCs w:val="28"/>
              </w:rPr>
            </w:pPr>
            <w:r>
              <w:rPr>
                <w:rFonts w:ascii="方正黑体_GBK" w:hAnsi="方正黑体_GBK" w:eastAsia="方正黑体_GBK" w:cs="宋体"/>
                <w:b/>
                <w:sz w:val="22"/>
                <w:szCs w:val="22"/>
              </w:rPr>
              <w:t>A份额：固定管理费年化0.11%</w:t>
            </w:r>
          </w:p>
          <w:p w14:paraId="2DA1D26E">
            <w:pPr>
              <w:spacing w:line="240" w:lineRule="auto"/>
              <w:rPr>
                <w:sz w:val="28"/>
                <w:szCs w:val="28"/>
              </w:rPr>
            </w:pPr>
            <w:r>
              <w:rPr>
                <w:rFonts w:ascii="方正黑体_GBK" w:hAnsi="方正黑体_GBK" w:eastAsia="方正黑体_GBK" w:cs="宋体"/>
                <w:b/>
                <w:sz w:val="22"/>
                <w:szCs w:val="22"/>
              </w:rPr>
              <w:t>B份额：固定管理费年化0.06%</w:t>
            </w:r>
          </w:p>
          <w:p w14:paraId="1CB38587">
            <w:pPr>
              <w:spacing w:line="240" w:lineRule="auto"/>
              <w:rPr>
                <w:sz w:val="28"/>
                <w:szCs w:val="28"/>
              </w:rPr>
            </w:pPr>
            <w:r>
              <w:rPr>
                <w:rFonts w:ascii="方正黑体_GBK" w:hAnsi="方正黑体_GBK" w:eastAsia="方正黑体_GBK" w:cs="宋体"/>
                <w:b/>
                <w:sz w:val="22"/>
                <w:szCs w:val="22"/>
              </w:rPr>
              <w:t>C份额：固定管理费年化0.06%</w:t>
            </w:r>
          </w:p>
          <w:p w14:paraId="0B3FD0F3">
            <w:pPr>
              <w:spacing w:line="240" w:lineRule="auto"/>
              <w:rPr>
                <w:sz w:val="28"/>
                <w:szCs w:val="28"/>
              </w:rPr>
            </w:pPr>
            <w:r>
              <w:rPr>
                <w:rFonts w:ascii="方正黑体_GBK" w:hAnsi="方正黑体_GBK" w:eastAsia="方正黑体_GBK" w:cs="宋体"/>
                <w:b/>
                <w:sz w:val="22"/>
                <w:szCs w:val="22"/>
              </w:rPr>
              <w:t>F份额：固定管理费年化0.01%</w:t>
            </w:r>
          </w:p>
          <w:p w14:paraId="54632D47">
            <w:pPr>
              <w:spacing w:line="240" w:lineRule="auto"/>
              <w:rPr>
                <w:sz w:val="28"/>
                <w:szCs w:val="28"/>
              </w:rPr>
            </w:pPr>
            <w:r>
              <w:rPr>
                <w:rFonts w:ascii="方正黑体_GBK" w:hAnsi="方正黑体_GBK" w:eastAsia="方正黑体_GBK" w:cs="宋体"/>
                <w:b/>
                <w:sz w:val="22"/>
                <w:szCs w:val="22"/>
              </w:rPr>
              <w:t>J份额：固定管理费年化0.11%</w:t>
            </w:r>
          </w:p>
          <w:p w14:paraId="639F4E92">
            <w:pPr>
              <w:spacing w:line="240" w:lineRule="auto"/>
              <w:rPr>
                <w:sz w:val="28"/>
                <w:szCs w:val="28"/>
              </w:rPr>
            </w:pPr>
            <w:r>
              <w:rPr>
                <w:rFonts w:ascii="方正黑体_GBK" w:hAnsi="方正黑体_GBK" w:eastAsia="方正黑体_GBK" w:cs="宋体"/>
                <w:b/>
                <w:sz w:val="22"/>
                <w:szCs w:val="22"/>
              </w:rPr>
              <w:t>L份额：固定管理费年化0.01%</w:t>
            </w:r>
          </w:p>
          <w:p w14:paraId="059155B9">
            <w:pPr>
              <w:spacing w:line="240" w:lineRule="auto"/>
              <w:rPr>
                <w:sz w:val="28"/>
                <w:szCs w:val="28"/>
              </w:rPr>
            </w:pPr>
            <w:r>
              <w:rPr>
                <w:rFonts w:ascii="方正黑体_GBK" w:hAnsi="方正黑体_GBK" w:eastAsia="方正黑体_GBK" w:cs="宋体"/>
                <w:b/>
                <w:sz w:val="22"/>
                <w:szCs w:val="22"/>
              </w:rPr>
              <w:t>B2份额：固定管理费年化0.01%</w:t>
            </w:r>
          </w:p>
          <w:p w14:paraId="60F3635B">
            <w:pPr>
              <w:spacing w:line="240" w:lineRule="auto"/>
              <w:rPr>
                <w:sz w:val="28"/>
                <w:szCs w:val="28"/>
              </w:rPr>
            </w:pPr>
            <w:r>
              <w:rPr>
                <w:rFonts w:ascii="方正黑体_GBK" w:hAnsi="方正黑体_GBK" w:eastAsia="方正黑体_GBK" w:cs="宋体"/>
                <w:b/>
                <w:sz w:val="22"/>
                <w:szCs w:val="22"/>
              </w:rPr>
              <w:t>C2份额：固定管理费年化0.01%</w:t>
            </w:r>
          </w:p>
          <w:p w14:paraId="1D0DA5BA">
            <w:pPr>
              <w:spacing w:line="240" w:lineRule="auto"/>
              <w:rPr>
                <w:sz w:val="28"/>
                <w:szCs w:val="28"/>
              </w:rPr>
            </w:pPr>
            <w:r>
              <w:rPr>
                <w:rFonts w:ascii="方正黑体_GBK" w:hAnsi="方正黑体_GBK" w:eastAsia="方正黑体_GBK" w:cs="宋体"/>
                <w:b/>
                <w:sz w:val="22"/>
                <w:szCs w:val="22"/>
              </w:rPr>
              <w:t>Q份额：固定管理费年化0.06%</w:t>
            </w:r>
          </w:p>
          <w:p w14:paraId="2DC4D5A3">
            <w:pPr>
              <w:spacing w:line="240" w:lineRule="auto"/>
              <w:rPr>
                <w:sz w:val="28"/>
                <w:szCs w:val="28"/>
              </w:rPr>
            </w:pPr>
            <w:r>
              <w:rPr>
                <w:rFonts w:ascii="方正黑体_GBK" w:hAnsi="方正黑体_GBK" w:eastAsia="方正黑体_GBK" w:cs="宋体"/>
                <w:b/>
                <w:sz w:val="22"/>
                <w:szCs w:val="22"/>
              </w:rPr>
              <w:t>Q2份额：固定管理费年化0.01%</w:t>
            </w:r>
          </w:p>
          <w:p w14:paraId="16715A94">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0EA12FFD">
            <w:pPr>
              <w:spacing w:line="240" w:lineRule="auto"/>
              <w:rPr>
                <w:sz w:val="28"/>
                <w:szCs w:val="28"/>
              </w:rPr>
            </w:pPr>
            <w:r>
              <w:rPr>
                <w:rFonts w:ascii="方正黑体_GBK" w:hAnsi="方正黑体_GBK" w:eastAsia="方正黑体_GBK" w:cs="宋体"/>
                <w:b/>
                <w:sz w:val="22"/>
                <w:szCs w:val="22"/>
              </w:rPr>
              <w:t>托管费：</w:t>
            </w:r>
          </w:p>
          <w:p w14:paraId="649DBE65">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34A74298">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1F291A3B">
            <w:pPr>
              <w:spacing w:line="240" w:lineRule="auto"/>
              <w:rPr>
                <w:sz w:val="28"/>
                <w:szCs w:val="28"/>
              </w:rPr>
            </w:pPr>
            <w:r>
              <w:rPr>
                <w:rFonts w:ascii="方正黑体_GBK" w:hAnsi="方正黑体_GBK" w:eastAsia="方正黑体_GBK" w:cs="宋体"/>
                <w:b/>
                <w:sz w:val="22"/>
                <w:szCs w:val="22"/>
              </w:rPr>
              <w:t>业绩报酬：</w:t>
            </w:r>
          </w:p>
          <w:p w14:paraId="32363C7E">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A份额：到期兑付时，当期产品投资的实际资产组合收益（扣除销售费、固定管理费、托管费等相关费用）超过1.9%（年化，即产品该份额对应的业绩报酬计提基准）时，超过部分管理人将按60%收取业绩报酬。</w:t>
            </w:r>
          </w:p>
          <w:p w14:paraId="633ECCE6">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B份额：到期兑付时，当期产品投资的实际资产组合收益（扣除销售费、固定管理费、托管费等相关费用）超过2%（年化，即产品该份额对应的业绩报酬计提基准）时，超过部分管理人将按60%收取业绩报酬。</w:t>
            </w:r>
          </w:p>
          <w:p w14:paraId="5F9E763B">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C份额：到期兑付时，当期产品投资的实际资产组合收益（扣除销售费、固定管理费、托管费等相关费用）超过2.1%（年化，即产品该份额对应的业绩报酬计提基准）时，超过部分管理人将按60%收取业绩报酬。</w:t>
            </w:r>
          </w:p>
          <w:p w14:paraId="5E2F2A68">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F份额：到期兑付时，当期产品投资的实际资产组合收益（扣除销售费、固定管理费、托管费等相关费用）超过2%（年化，即产品该份额对应的业绩报酬计提基准）时，超过部分管理人将按60%收取业绩报酬。</w:t>
            </w:r>
          </w:p>
          <w:p w14:paraId="7DF27084">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J份额：到期兑付时，当期产品投资的实际资产组合收益（扣除销售费、固定管理费、托管费等相关费用）超过1.9%（年化，即产品该份额对应的业绩报酬计提基准）时，超过部分管理人将按60%收取业绩报酬。</w:t>
            </w:r>
          </w:p>
          <w:p w14:paraId="22EB5E2B">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L份额：到期兑付时，当期产品投资的实际资产组合收益（扣除销售费、固定管理费、托管费等相关费用）超过2.15%（年化，即产品该份额对应的业绩报酬计提基准）时，超过部分管理人将按60%收取业绩报酬。</w:t>
            </w:r>
          </w:p>
          <w:p w14:paraId="67D3E9E9">
            <w:pPr>
              <w:spacing w:line="240" w:lineRule="auto"/>
              <w:rPr>
                <w:sz w:val="28"/>
                <w:szCs w:val="28"/>
              </w:rPr>
            </w:pPr>
            <w:r>
              <w:rPr>
                <w:rFonts w:ascii="方正黑体_GBK" w:hAnsi="方正黑体_GBK" w:eastAsia="方正黑体_GBK" w:cs="宋体"/>
                <w:b/>
                <w:sz w:val="22"/>
                <w:szCs w:val="22"/>
              </w:rPr>
              <w:t>B2份额：到期兑付时，当期产品投资的实际资产组合收益（扣除销售费、固定管理费、托管费等相关费用）超过1.95%（年化，即产品该份额对应的业绩报酬计提基准）时，超过部分管理人将按60%收取业绩报酬。</w:t>
            </w:r>
          </w:p>
          <w:p w14:paraId="795CD054">
            <w:pPr>
              <w:spacing w:line="240" w:lineRule="auto"/>
              <w:rPr>
                <w:sz w:val="28"/>
                <w:szCs w:val="28"/>
              </w:rPr>
            </w:pPr>
            <w:r>
              <w:rPr>
                <w:rFonts w:ascii="方正黑体_GBK" w:hAnsi="方正黑体_GBK" w:eastAsia="方正黑体_GBK" w:cs="宋体"/>
                <w:b/>
                <w:sz w:val="22"/>
                <w:szCs w:val="22"/>
              </w:rPr>
              <w:t>C2份额：到期兑付时，当期产品投资的实际资产组合收益（扣除销售费、固定管理费、托管费等相关费用）超过2.05%（年化，即产品该份额对应的业绩报酬计提基准）时，超过部分管理人将按60%收取业绩报酬。</w:t>
            </w:r>
          </w:p>
          <w:p w14:paraId="5D7B7F6A">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Q份额：到期兑付时，当期产品投资的实际资产组合收益（扣除销售费、固定管理费、托管费等相关费用）超过2.05%（年化，即产品该份额对应的业绩报酬计提基准）时，超过部分管理人将按60%收取业绩报酬。</w:t>
            </w:r>
          </w:p>
          <w:p w14:paraId="68BA5F68">
            <w:pPr>
              <w:spacing w:line="240" w:lineRule="auto"/>
              <w:rPr>
                <w:sz w:val="28"/>
                <w:szCs w:val="28"/>
              </w:rPr>
            </w:pPr>
            <w:r>
              <w:rPr>
                <w:rFonts w:ascii="方正黑体_GBK" w:hAnsi="方正黑体_GBK" w:eastAsia="方正黑体_GBK" w:cs="宋体"/>
                <w:b/>
                <w:sz w:val="22"/>
                <w:szCs w:val="22"/>
              </w:rPr>
              <w:t>Q2份额：到期兑付时，当期产品投资的实际资产组合收益（扣除销售费、固定管理费、托管费等相关费用）超过2.1%（年化，即产品该份额对应的业绩报酬计提基准）时，超过部分管理人将按60%收取业绩报酬。</w:t>
            </w:r>
          </w:p>
          <w:p w14:paraId="687C5F5B">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1814BF24">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5914CB98">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467803F0">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012BCCDD">
            <w:pPr>
              <w:spacing w:line="240" w:lineRule="auto"/>
              <w:rPr>
                <w:sz w:val="28"/>
                <w:szCs w:val="28"/>
              </w:rPr>
            </w:pPr>
            <w:r>
              <w:rPr>
                <w:rFonts w:ascii="方正黑体_GBK" w:hAnsi="方正黑体_GBK" w:eastAsia="方正黑体_GBK" w:cs="宋体"/>
                <w:b/>
                <w:sz w:val="22"/>
                <w:szCs w:val="22"/>
              </w:rPr>
              <w:t>计算本区间业绩报酬的公式如下：</w:t>
            </w:r>
          </w:p>
          <w:p w14:paraId="03C2C9BF">
            <w:pPr>
              <w:spacing w:line="240" w:lineRule="auto"/>
              <w:rPr>
                <w:sz w:val="28"/>
                <w:szCs w:val="28"/>
              </w:rPr>
            </w:pPr>
            <w:r>
              <w:rPr>
                <w:rFonts w:ascii="方正黑体_GBK" w:hAnsi="方正黑体_GBK" w:eastAsia="方正黑体_GBK" w:cs="宋体"/>
                <w:b/>
                <w:sz w:val="22"/>
                <w:szCs w:val="22"/>
              </w:rPr>
              <w:t>A={B-C*D*(1+E*F/365)}*G。</w:t>
            </w:r>
          </w:p>
          <w:p w14:paraId="3D94EEBD">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1A653D00">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1870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7911240D">
            <w:pPr>
              <w:spacing w:line="240" w:lineRule="auto"/>
              <w:rPr>
                <w:sz w:val="28"/>
                <w:szCs w:val="28"/>
              </w:rPr>
            </w:pPr>
            <w:r>
              <w:rPr>
                <w:rFonts w:ascii="方正黑体_GBK" w:hAnsi="方正黑体_GBK" w:eastAsia="方正黑体_GBK" w:cs="宋体"/>
                <w:sz w:val="22"/>
                <w:szCs w:val="22"/>
              </w:rPr>
              <w:t>具体详见本理财产品风险揭示书。</w:t>
            </w:r>
          </w:p>
        </w:tc>
      </w:tr>
      <w:tr w14:paraId="5AF37F44">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5BB1D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3880589C">
            <w:pPr>
              <w:spacing w:line="240" w:lineRule="auto"/>
              <w:jc w:val="left"/>
              <w:rPr>
                <w:sz w:val="28"/>
                <w:szCs w:val="28"/>
              </w:rPr>
            </w:pPr>
            <w:r>
              <w:rPr>
                <w:rFonts w:ascii="方正黑体_GBK" w:hAnsi="方正黑体_GBK" w:eastAsia="方正黑体_GBK" w:cs="宋体"/>
                <w:color w:val="000000"/>
                <w:sz w:val="22"/>
                <w:szCs w:val="22"/>
              </w:rPr>
              <w:t xml:space="preserve">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  </w:t>
            </w:r>
          </w:p>
          <w:p w14:paraId="277BAD72">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39201E70">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48771F6C">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682B80DD">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492DB516">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20C1EE24">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16FC4217">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42C82121">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AC6F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13834C7D">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江苏常熟农村商业银行股份有限公司、江苏苏州农村商业银行股份有限公司、长沙银行股份有限公司、福建海峡银行股份有限公司、秦皇岛银行股份有限公司、泰安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兰州银行股份有限公司、东营银行股份有限公司、江苏沛县农村商业银行股份有限公司、交通银行股份有限公司、甘肃银行股份有限公司、中国银行股份有限公司、台州银行股份有限公司、浙江民泰商业银行股份有限公司、江苏仪征农村商业银行股份有限公司、金华银行股份有限公司、昆山鹿城村镇银行股份有限公司、湖北银行股份有限公司、连云港东方农村商业银行股份有限公司、德州银行股份有限公司、北京农村商业银行股份有限公司、上海农村商业银行股份有限公司、长安银行股份有限公司、江苏沭阳农村商业银行股份有限公司、永丰银行（中国）有限公司、湖州银行股份有限公司、江苏灌云农村商业银行股份有限公司、江苏海安农村商业银行股份有限公司、广州农村商业银行股份有限公司、江苏泰州农村商业银行股份有限公司、江苏启东农村商业银行股份有限公司。</w:t>
            </w:r>
          </w:p>
          <w:p w14:paraId="4BBD9100">
            <w:pPr>
              <w:spacing w:line="240" w:lineRule="auto"/>
              <w:jc w:val="left"/>
              <w:rPr>
                <w:sz w:val="28"/>
                <w:szCs w:val="28"/>
              </w:rPr>
            </w:pPr>
            <w:r>
              <w:rPr>
                <w:rFonts w:ascii="方正黑体_GBK" w:hAnsi="方正黑体_GBK" w:eastAsia="方正黑体_GBK" w:cs="宋体"/>
                <w:sz w:val="22"/>
                <w:szCs w:val="22"/>
              </w:rPr>
              <w:t>销售机构主要职责如下：</w:t>
            </w:r>
          </w:p>
          <w:p w14:paraId="68A19F4A">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3EF5D423">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2410C8E8">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42BC163C">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7DE18F61">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5EE55D4B">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7607E5BF">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9D696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12B9D588">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4898FBF2">
            <w:pPr>
              <w:spacing w:line="240" w:lineRule="auto"/>
              <w:rPr>
                <w:sz w:val="28"/>
                <w:szCs w:val="28"/>
              </w:rPr>
            </w:pPr>
            <w:r>
              <w:rPr>
                <w:rFonts w:ascii="方正黑体_GBK" w:hAnsi="方正黑体_GBK" w:eastAsia="方正黑体_GBK" w:cs="宋体"/>
                <w:sz w:val="22"/>
                <w:szCs w:val="22"/>
              </w:rPr>
              <w:t>1.安全保管理财产品财产；</w:t>
            </w:r>
          </w:p>
          <w:p w14:paraId="059C222D">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4ABAF00C">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07829B26">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510D01A4">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0039C32F">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4A1F8A8E">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51C5233D">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7AFA28A2">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74303F78">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473B1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2966BBB7">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0E963A8E">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5F129AB0">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粮信托有限责任公司、中信信托有限责任公司、鑫元基金管理有限公司。</w:t>
            </w:r>
          </w:p>
          <w:p w14:paraId="2BF49996">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7B0732F9">
            <w:pPr>
              <w:spacing w:line="240" w:lineRule="auto"/>
              <w:rPr>
                <w:sz w:val="28"/>
                <w:szCs w:val="28"/>
              </w:rPr>
            </w:pPr>
            <w:r>
              <w:rPr>
                <w:rFonts w:ascii="方正黑体_GBK" w:hAnsi="方正黑体_GBK" w:eastAsia="方正黑体_GBK" w:cs="宋体"/>
                <w:sz w:val="22"/>
                <w:szCs w:val="22"/>
              </w:rPr>
              <w:t>上述投资合作机构简介：</w:t>
            </w:r>
          </w:p>
          <w:p w14:paraId="27F03950">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3C50605D">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6B9C0529">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01B98624">
            <w:pPr>
              <w:spacing w:line="240" w:lineRule="auto"/>
              <w:rPr>
                <w:sz w:val="28"/>
                <w:szCs w:val="28"/>
              </w:rPr>
            </w:pPr>
            <w:r>
              <w:rPr>
                <w:rFonts w:ascii="方正黑体_GBK" w:hAnsi="方正黑体_GBK" w:eastAsia="方正黑体_GBK" w:cs="宋体"/>
                <w:sz w:val="22"/>
                <w:szCs w:val="22"/>
              </w:rPr>
              <w:t>国寿投资保险资产管理有限公司成立于1994年06月01日，注册资本金 370000万元。</w:t>
            </w:r>
          </w:p>
          <w:p w14:paraId="1D84C80D">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34ED73D3">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0CC4E97C">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34AE1816">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3FAD1216">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1775B64C">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0445F384">
            <w:pPr>
              <w:spacing w:line="240" w:lineRule="auto"/>
              <w:rPr>
                <w:sz w:val="28"/>
                <w:szCs w:val="28"/>
              </w:rPr>
            </w:pPr>
            <w:r>
              <w:rPr>
                <w:rFonts w:ascii="方正黑体_GBK" w:hAnsi="方正黑体_GBK" w:eastAsia="方正黑体_GBK" w:cs="宋体"/>
                <w:sz w:val="22"/>
                <w:szCs w:val="22"/>
              </w:rPr>
              <w:t>交银国际信托有限公司成立于1983年11月23日，注册资本金57.65亿元。</w:t>
            </w:r>
          </w:p>
          <w:p w14:paraId="7BA5FEC5">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53EBCDA1">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7512C595">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6312D0EF">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07086CCC">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5E79580C">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025CACD7">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13F36597">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0EF87C28">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60A9E4F8">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1D24978F">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1926C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2315D80B">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17CCF676">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19A2F242">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7C558F8D">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19484F17">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741B8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3DB1391A">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39A80FAF">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2EB7630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6AB5337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14F768CF">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7BCF47D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189D5D81">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5F6601B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5E173EC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21B0E1F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3E16AB6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3FF05CE9">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7467F8B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2CFB291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1C46A53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37A7290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1826333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124CCD6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44064C8B">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4852017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273853F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23F4208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00E598A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37E983D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79111F1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7E03B34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4DE0CDC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776F601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1DD766F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5653809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29C5820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1C9C566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6F795C26">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48585609">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南银理财珠联璧合鑫逸稳半年185期（绿色金融主题）封闭式公募人民币理财产品</w:t>
      </w:r>
      <w:r>
        <w:rPr>
          <w:rFonts w:hint="eastAsia" w:ascii="方正黑体_GBK" w:hAnsi="方正黑体_GBK" w:eastAsia="方正黑体_GBK"/>
          <w:vanish w:val="0"/>
          <w:color w:val="3D3D3D"/>
          <w:kern w:val="0"/>
          <w:sz w:val="20"/>
          <w:szCs w:val="20"/>
        </w:rPr>
        <w:t>。</w:t>
      </w:r>
    </w:p>
    <w:p w14:paraId="5954EE0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40A0869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3E744FA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2A45CA1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15D17A42">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00BF156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47F2391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12EC2E7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2FACDEC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53B8EF1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1FC1E3E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1F85DC4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0FDE437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554C675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7B314BE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6BD2EEB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1DE49CD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0ED859E1">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19A84F24">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6288F46B">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276819EF">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49E002E9">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13C39A88">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108C1624">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5C2D7500">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608879DE">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7112CD52">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05559E8B">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7CDF96D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7140C332">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0B6DF8E8">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7DAE6CF8">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28E4C33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477E2756">
      <w:pPr>
        <w:pStyle w:val="29"/>
        <w:keepNext w:val="0"/>
        <w:keepLines w:val="0"/>
        <w:pageBreakBefore w:val="0"/>
        <w:widowControl/>
        <w:suppressLineNumbers w:val="0"/>
        <w:suppressAutoHyphens w:val="0"/>
        <w:spacing w:line="240" w:lineRule="auto"/>
        <w:ind w:firstLine="400"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4500021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7DAC50DD">
      <w:pPr>
        <w:spacing w:line="240" w:lineRule="auto"/>
        <w:ind w:firstLine="300"/>
        <w:jc w:val="both"/>
        <w:rPr>
          <w:sz w:val="28"/>
          <w:szCs w:val="28"/>
        </w:rPr>
      </w:pPr>
      <w:r>
        <w:rPr>
          <w:rFonts w:ascii="方正黑体_GBK" w:hAnsi="方正黑体_GBK" w:eastAsia="方正黑体_GBK" w:cs="宋体"/>
          <w:sz w:val="20"/>
          <w:szCs w:val="24"/>
        </w:rPr>
        <w:t>（一）估值日</w:t>
      </w:r>
    </w:p>
    <w:p w14:paraId="14A9A9B6">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4FC13BF8">
      <w:pPr>
        <w:spacing w:line="240" w:lineRule="auto"/>
        <w:ind w:firstLine="300"/>
        <w:jc w:val="both"/>
        <w:rPr>
          <w:sz w:val="28"/>
          <w:szCs w:val="28"/>
        </w:rPr>
      </w:pPr>
      <w:r>
        <w:rPr>
          <w:rFonts w:ascii="方正黑体_GBK" w:hAnsi="方正黑体_GBK" w:eastAsia="方正黑体_GBK" w:cs="宋体"/>
          <w:sz w:val="20"/>
          <w:szCs w:val="24"/>
        </w:rPr>
        <w:t>（二）估值对象</w:t>
      </w:r>
    </w:p>
    <w:p w14:paraId="1AAF4156">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6DCB5D31">
      <w:pPr>
        <w:spacing w:line="240" w:lineRule="auto"/>
        <w:ind w:firstLine="300"/>
        <w:jc w:val="both"/>
        <w:rPr>
          <w:sz w:val="28"/>
          <w:szCs w:val="28"/>
        </w:rPr>
      </w:pPr>
      <w:r>
        <w:rPr>
          <w:rFonts w:ascii="方正黑体_GBK" w:hAnsi="方正黑体_GBK" w:eastAsia="方正黑体_GBK" w:cs="宋体"/>
          <w:sz w:val="20"/>
          <w:szCs w:val="24"/>
        </w:rPr>
        <w:t>（三）估值目的</w:t>
      </w:r>
    </w:p>
    <w:p w14:paraId="420E3C14">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54070109">
      <w:pPr>
        <w:spacing w:line="240" w:lineRule="auto"/>
        <w:ind w:firstLine="300"/>
        <w:jc w:val="both"/>
        <w:rPr>
          <w:sz w:val="28"/>
          <w:szCs w:val="28"/>
        </w:rPr>
      </w:pPr>
      <w:r>
        <w:rPr>
          <w:rFonts w:ascii="方正黑体_GBK" w:hAnsi="方正黑体_GBK" w:eastAsia="方正黑体_GBK" w:cs="宋体"/>
          <w:sz w:val="20"/>
          <w:szCs w:val="24"/>
        </w:rPr>
        <w:t>（四）估值原则</w:t>
      </w:r>
    </w:p>
    <w:p w14:paraId="0DD0B8AD">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091045C3">
      <w:pPr>
        <w:spacing w:line="240" w:lineRule="auto"/>
        <w:ind w:firstLine="300"/>
        <w:jc w:val="both"/>
        <w:rPr>
          <w:sz w:val="28"/>
          <w:szCs w:val="28"/>
        </w:rPr>
      </w:pPr>
      <w:r>
        <w:rPr>
          <w:rFonts w:ascii="方正黑体_GBK" w:hAnsi="方正黑体_GBK" w:eastAsia="方正黑体_GBK" w:cs="宋体"/>
          <w:sz w:val="20"/>
          <w:szCs w:val="24"/>
        </w:rPr>
        <w:t>（五）估值方法</w:t>
      </w:r>
    </w:p>
    <w:p w14:paraId="27735709">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61B3D938">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4EDD0B3E">
      <w:pPr>
        <w:spacing w:line="240" w:lineRule="auto"/>
        <w:ind w:firstLine="440"/>
        <w:rPr>
          <w:sz w:val="28"/>
          <w:szCs w:val="28"/>
        </w:rPr>
      </w:pPr>
      <w:r>
        <w:rPr>
          <w:rFonts w:ascii="方正黑体_GBK" w:hAnsi="方正黑体_GBK" w:eastAsia="方正黑体_GBK" w:cs="宋体"/>
          <w:sz w:val="22"/>
          <w:szCs w:val="24"/>
        </w:rPr>
        <w:t>以本金列示，逐日计提利息。</w:t>
      </w:r>
    </w:p>
    <w:p w14:paraId="44C1C094">
      <w:pPr>
        <w:spacing w:line="240" w:lineRule="auto"/>
        <w:ind w:firstLine="440"/>
        <w:rPr>
          <w:sz w:val="28"/>
          <w:szCs w:val="28"/>
        </w:rPr>
      </w:pPr>
      <w:r>
        <w:rPr>
          <w:rFonts w:ascii="方正黑体_GBK" w:hAnsi="方正黑体_GBK" w:eastAsia="方正黑体_GBK" w:cs="宋体"/>
          <w:sz w:val="22"/>
          <w:szCs w:val="24"/>
        </w:rPr>
        <w:t>2.债券类资产</w:t>
      </w:r>
    </w:p>
    <w:p w14:paraId="7D7B2970">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63206AB7">
      <w:pPr>
        <w:spacing w:line="240" w:lineRule="auto"/>
        <w:ind w:firstLine="440"/>
        <w:rPr>
          <w:sz w:val="28"/>
          <w:szCs w:val="28"/>
        </w:rPr>
      </w:pPr>
      <w:r>
        <w:rPr>
          <w:rFonts w:ascii="方正黑体_GBK" w:hAnsi="方正黑体_GBK" w:eastAsia="方正黑体_GBK" w:cs="宋体"/>
          <w:sz w:val="22"/>
          <w:szCs w:val="24"/>
        </w:rPr>
        <w:t>3.非标准化债权类资产</w:t>
      </w:r>
    </w:p>
    <w:p w14:paraId="5D212C7F">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1D6D34C2">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338C1C2D">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46C05405">
      <w:pPr>
        <w:spacing w:line="240" w:lineRule="auto"/>
        <w:ind w:firstLine="440"/>
        <w:rPr>
          <w:sz w:val="28"/>
          <w:szCs w:val="28"/>
        </w:rPr>
      </w:pPr>
      <w:r>
        <w:rPr>
          <w:rFonts w:ascii="方正黑体_GBK" w:hAnsi="方正黑体_GBK" w:eastAsia="方正黑体_GBK" w:cs="宋体"/>
          <w:sz w:val="22"/>
          <w:szCs w:val="24"/>
        </w:rPr>
        <w:t>5.股权类及其他资产</w:t>
      </w:r>
    </w:p>
    <w:p w14:paraId="4F706C9B">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5792F8B4">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12AAADE6">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567128C9">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78A35F1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6D79F566">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1AD1C5BA">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20C932A9">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76FCF6B2">
      <w:pPr>
        <w:spacing w:line="240" w:lineRule="auto"/>
        <w:ind w:firstLine="300"/>
        <w:rPr>
          <w:sz w:val="28"/>
          <w:szCs w:val="28"/>
        </w:rPr>
      </w:pPr>
      <w:r>
        <w:rPr>
          <w:rFonts w:ascii="方正黑体_GBK" w:hAnsi="方正黑体_GBK" w:eastAsia="方正黑体_GBK" w:cs="宋体"/>
          <w:color w:val="3D3D3D"/>
          <w:sz w:val="20"/>
          <w:szCs w:val="24"/>
        </w:rPr>
        <w:t>1.净值信息</w:t>
      </w:r>
    </w:p>
    <w:p w14:paraId="6CB37C07">
      <w:pPr>
        <w:spacing w:line="240" w:lineRule="auto"/>
        <w:ind w:firstLine="300"/>
        <w:rPr>
          <w:sz w:val="28"/>
          <w:szCs w:val="28"/>
        </w:rPr>
      </w:pPr>
      <w:r>
        <w:rPr>
          <w:rFonts w:ascii="方正黑体_GBK" w:hAnsi="方正黑体_GBK" w:eastAsia="方正黑体_GBK" w:cs="宋体"/>
          <w:color w:val="3D3D3D"/>
          <w:sz w:val="20"/>
          <w:szCs w:val="24"/>
        </w:rPr>
        <w:t>管理人在本理财产品存续期间至少</w:t>
      </w:r>
      <w:r>
        <w:rPr>
          <w:rFonts w:ascii="方正黑体_GBK" w:hAnsi="方正黑体_GBK" w:eastAsia="方正黑体_GBK" w:cs="宋体"/>
          <w:color w:val="3D3D3D"/>
          <w:sz w:val="20"/>
          <w:szCs w:val="24"/>
          <w:shd w:val="clear" w:fill="FFFFFF"/>
        </w:rPr>
        <w:t>按周</w:t>
      </w:r>
      <w:r>
        <w:rPr>
          <w:rFonts w:ascii="方正黑体_GBK" w:hAnsi="方正黑体_GBK" w:eastAsia="方正黑体_GBK" w:cs="宋体"/>
          <w:color w:val="3D3D3D"/>
          <w:sz w:val="20"/>
          <w:szCs w:val="24"/>
        </w:rPr>
        <w:t>向投资者披露净值。</w:t>
      </w:r>
    </w:p>
    <w:p w14:paraId="759AA243">
      <w:pPr>
        <w:spacing w:line="240" w:lineRule="auto"/>
        <w:ind w:firstLine="300"/>
        <w:rPr>
          <w:sz w:val="28"/>
          <w:szCs w:val="28"/>
        </w:rPr>
      </w:pPr>
      <w:r>
        <w:rPr>
          <w:rFonts w:ascii="方正黑体_GBK" w:hAnsi="方正黑体_GBK" w:eastAsia="方正黑体_GBK" w:cs="宋体"/>
          <w:color w:val="3D3D3D"/>
          <w:sz w:val="20"/>
          <w:szCs w:val="24"/>
        </w:rPr>
        <w:t>2.产品发行公告</w:t>
      </w:r>
    </w:p>
    <w:p w14:paraId="2AEE9B4E">
      <w:pPr>
        <w:spacing w:line="240" w:lineRule="auto"/>
        <w:ind w:firstLine="300"/>
        <w:rPr>
          <w:sz w:val="28"/>
          <w:szCs w:val="28"/>
        </w:rPr>
      </w:pPr>
      <w:r>
        <w:rPr>
          <w:rFonts w:ascii="方正黑体_GBK" w:hAnsi="方正黑体_GBK" w:eastAsia="方正黑体_GBK" w:cs="宋体"/>
          <w:color w:val="3D3D3D"/>
          <w:sz w:val="20"/>
          <w:szCs w:val="24"/>
        </w:rPr>
        <w:t>管理人将在本理财产品成立后5个工作日内披露产品发行公告。</w:t>
      </w:r>
    </w:p>
    <w:p w14:paraId="0E2F7F03">
      <w:pPr>
        <w:spacing w:line="240" w:lineRule="auto"/>
        <w:ind w:firstLine="300"/>
        <w:rPr>
          <w:sz w:val="28"/>
          <w:szCs w:val="28"/>
        </w:rPr>
      </w:pPr>
      <w:r>
        <w:rPr>
          <w:rFonts w:ascii="方正黑体_GBK" w:hAnsi="方正黑体_GBK" w:eastAsia="方正黑体_GBK" w:cs="宋体"/>
          <w:color w:val="3D3D3D"/>
          <w:sz w:val="20"/>
          <w:szCs w:val="24"/>
        </w:rPr>
        <w:t>3.定期报告</w:t>
      </w:r>
    </w:p>
    <w:p w14:paraId="54DB2834">
      <w:pPr>
        <w:spacing w:line="240" w:lineRule="auto"/>
        <w:ind w:firstLine="300"/>
        <w:rPr>
          <w:sz w:val="28"/>
          <w:szCs w:val="28"/>
        </w:rPr>
      </w:pPr>
      <w:r>
        <w:rPr>
          <w:rFonts w:ascii="方正黑体_GBK" w:hAnsi="方正黑体_GBK" w:eastAsia="方正黑体_GBK" w:cs="宋体"/>
          <w:color w:val="3D3D3D"/>
          <w:sz w:val="20"/>
          <w:szCs w:val="24"/>
        </w:rPr>
        <w:t>管理人将在每个季度结束之日起15个工作日内、上半年结束之日起60个工作日内、每年结束之日起90个工作日内披露本理财产品的季度、半年和年度报告，如果本理财产品成立不足90个工作日或者剩余存续期不超过90个工作日的，管理人可以不编制产品当期的季度、半年和年度报告。</w:t>
      </w:r>
    </w:p>
    <w:p w14:paraId="0115EF9F">
      <w:pPr>
        <w:spacing w:line="240" w:lineRule="auto"/>
        <w:ind w:firstLine="300"/>
        <w:rPr>
          <w:sz w:val="28"/>
          <w:szCs w:val="28"/>
        </w:rPr>
      </w:pPr>
      <w:r>
        <w:rPr>
          <w:rFonts w:ascii="方正黑体_GBK" w:hAnsi="方正黑体_GBK" w:eastAsia="方正黑体_GBK" w:cs="宋体"/>
          <w:color w:val="3D3D3D"/>
          <w:sz w:val="20"/>
          <w:szCs w:val="24"/>
        </w:rPr>
        <w:t>4.到期公告</w:t>
      </w:r>
    </w:p>
    <w:p w14:paraId="6A4FA906">
      <w:pPr>
        <w:spacing w:line="240" w:lineRule="auto"/>
        <w:ind w:firstLine="300"/>
        <w:rPr>
          <w:sz w:val="28"/>
          <w:szCs w:val="28"/>
        </w:rPr>
      </w:pPr>
      <w:r>
        <w:rPr>
          <w:rFonts w:ascii="方正黑体_GBK" w:hAnsi="方正黑体_GBK" w:eastAsia="方正黑体_GBK" w:cs="宋体"/>
          <w:color w:val="3D3D3D"/>
          <w:sz w:val="20"/>
          <w:szCs w:val="24"/>
        </w:rPr>
        <w:t>管理人将在本理财产品终止后5个工作日内披露产品到期公告。</w:t>
      </w:r>
    </w:p>
    <w:p w14:paraId="4227E93D">
      <w:pPr>
        <w:spacing w:line="240" w:lineRule="auto"/>
        <w:ind w:firstLine="300"/>
        <w:rPr>
          <w:sz w:val="28"/>
          <w:szCs w:val="28"/>
        </w:rPr>
      </w:pPr>
      <w:r>
        <w:rPr>
          <w:rFonts w:ascii="方正黑体_GBK" w:hAnsi="方正黑体_GBK" w:eastAsia="方正黑体_GBK" w:cs="宋体"/>
          <w:color w:val="3D3D3D"/>
          <w:sz w:val="20"/>
          <w:szCs w:val="24"/>
        </w:rPr>
        <w:t>5.重大事项公告</w:t>
      </w:r>
    </w:p>
    <w:p w14:paraId="219C2243">
      <w:pPr>
        <w:spacing w:line="240" w:lineRule="auto"/>
        <w:ind w:firstLine="300"/>
        <w:rPr>
          <w:sz w:val="28"/>
          <w:szCs w:val="28"/>
        </w:rPr>
      </w:pPr>
      <w:r>
        <w:rPr>
          <w:rFonts w:ascii="方正黑体_GBK" w:hAnsi="方正黑体_GBK" w:eastAsia="方正黑体_GBK" w:cs="宋体"/>
          <w:color w:val="3D3D3D"/>
          <w:sz w:val="20"/>
          <w:szCs w:val="24"/>
        </w:rPr>
        <w:t>管理人将在发生可能对本理财产品投资者或者理财产品收益产生重大影响的事件后2个工作日内披露重大事项公告。</w:t>
      </w:r>
    </w:p>
    <w:p w14:paraId="11CB684D">
      <w:pPr>
        <w:spacing w:line="240" w:lineRule="auto"/>
        <w:ind w:firstLine="300"/>
        <w:rPr>
          <w:sz w:val="28"/>
          <w:szCs w:val="28"/>
        </w:rPr>
      </w:pPr>
      <w:r>
        <w:rPr>
          <w:rFonts w:ascii="方正黑体_GBK" w:hAnsi="方正黑体_GBK" w:eastAsia="方正黑体_GBK" w:cs="宋体"/>
          <w:color w:val="3D3D3D"/>
          <w:sz w:val="20"/>
          <w:szCs w:val="24"/>
        </w:rPr>
        <w:t>6.临时公告</w:t>
      </w:r>
    </w:p>
    <w:p w14:paraId="234C88BB">
      <w:pPr>
        <w:spacing w:line="240" w:lineRule="auto"/>
        <w:ind w:firstLine="300"/>
        <w:rPr>
          <w:sz w:val="28"/>
          <w:szCs w:val="28"/>
        </w:rPr>
      </w:pPr>
      <w:r>
        <w:rPr>
          <w:rFonts w:ascii="方正黑体_GBK" w:hAnsi="方正黑体_GBK" w:eastAsia="方正黑体_GBK" w:cs="宋体"/>
          <w:color w:val="3D3D3D"/>
          <w:sz w:val="20"/>
          <w:szCs w:val="24"/>
        </w:rPr>
        <w:t>理财产品在运作管理过程中，发生可能对理财产品持有人权益产生影响的事项时，管理人将根据法律法规规定及时进行临时信息披露。</w:t>
      </w:r>
    </w:p>
    <w:p w14:paraId="5844495E">
      <w:pPr>
        <w:spacing w:line="240" w:lineRule="auto"/>
        <w:ind w:firstLine="300"/>
        <w:rPr>
          <w:sz w:val="28"/>
          <w:szCs w:val="28"/>
        </w:rPr>
      </w:pPr>
      <w:r>
        <w:rPr>
          <w:rFonts w:ascii="方正黑体_GBK" w:hAnsi="方正黑体_GBK" w:eastAsia="方正黑体_GBK" w:cs="宋体"/>
          <w:color w:val="3D3D3D"/>
          <w:sz w:val="20"/>
          <w:szCs w:val="24"/>
        </w:rPr>
        <w:t>7.关联交易信息披露</w:t>
      </w:r>
    </w:p>
    <w:p w14:paraId="07F4550A">
      <w:pPr>
        <w:spacing w:line="240" w:lineRule="auto"/>
        <w:ind w:firstLine="300"/>
        <w:rPr>
          <w:sz w:val="28"/>
          <w:szCs w:val="28"/>
        </w:rPr>
      </w:pPr>
      <w:r>
        <w:rPr>
          <w:rFonts w:ascii="方正黑体_GBK" w:hAnsi="方正黑体_GBK" w:eastAsia="方正黑体_GBK" w:cs="宋体"/>
          <w:color w:val="3D3D3D"/>
          <w:sz w:val="20"/>
          <w:szCs w:val="24"/>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6E5A25A9">
      <w:pPr>
        <w:spacing w:line="240" w:lineRule="auto"/>
        <w:ind w:firstLine="300"/>
        <w:rPr>
          <w:sz w:val="28"/>
          <w:szCs w:val="28"/>
        </w:rPr>
      </w:pPr>
      <w:r>
        <w:rPr>
          <w:rFonts w:ascii="方正黑体_GBK" w:hAnsi="方正黑体_GBK" w:eastAsia="方正黑体_GBK" w:cs="宋体"/>
          <w:color w:val="3D3D3D"/>
          <w:sz w:val="20"/>
          <w:szCs w:val="24"/>
        </w:rPr>
        <w:t>8.账单</w:t>
      </w:r>
    </w:p>
    <w:p w14:paraId="37040B5D">
      <w:pPr>
        <w:spacing w:line="240" w:lineRule="auto"/>
        <w:ind w:firstLine="300"/>
        <w:rPr>
          <w:sz w:val="28"/>
          <w:szCs w:val="28"/>
        </w:rPr>
      </w:pPr>
      <w:r>
        <w:rPr>
          <w:rFonts w:ascii="方正黑体_GBK" w:hAnsi="方正黑体_GBK" w:eastAsia="方正黑体_GBK" w:cs="宋体"/>
          <w:color w:val="3D3D3D"/>
          <w:sz w:val="20"/>
          <w:szCs w:val="24"/>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14:paraId="223DC403">
      <w:pPr>
        <w:spacing w:line="240" w:lineRule="auto"/>
        <w:ind w:firstLine="301"/>
        <w:rPr>
          <w:sz w:val="28"/>
          <w:szCs w:val="28"/>
        </w:rPr>
      </w:pPr>
      <w:r>
        <w:rPr>
          <w:rFonts w:ascii="方正黑体_GBK" w:hAnsi="方正黑体_GBK" w:eastAsia="方正黑体_GBK" w:cs="宋体"/>
          <w:b/>
          <w:sz w:val="20"/>
          <w:szCs w:val="24"/>
        </w:rPr>
        <w:t>9.在本理财产品存续期内：</w:t>
      </w:r>
    </w:p>
    <w:p w14:paraId="309426D0">
      <w:pPr>
        <w:spacing w:line="240" w:lineRule="auto"/>
        <w:ind w:firstLine="301"/>
        <w:rPr>
          <w:sz w:val="28"/>
          <w:szCs w:val="28"/>
        </w:rPr>
      </w:pPr>
      <w:r>
        <w:rPr>
          <w:rFonts w:ascii="方正黑体_GBK" w:hAnsi="方正黑体_GBK" w:eastAsia="方正黑体_GBK" w:cs="宋体"/>
          <w:b/>
          <w:sz w:val="20"/>
          <w:szCs w:val="24"/>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4DE2EDE7">
      <w:pPr>
        <w:spacing w:line="240" w:lineRule="auto"/>
        <w:ind w:firstLine="300"/>
        <w:rPr>
          <w:sz w:val="28"/>
          <w:szCs w:val="28"/>
        </w:rPr>
      </w:pPr>
      <w:r>
        <w:rPr>
          <w:rFonts w:ascii="方正黑体_GBK" w:hAnsi="方正黑体_GBK" w:eastAsia="方正黑体_GBK" w:cs="宋体"/>
          <w:color w:val="3D3D3D"/>
          <w:sz w:val="20"/>
          <w:szCs w:val="24"/>
        </w:rPr>
        <w:t>10.其他公告</w:t>
      </w:r>
    </w:p>
    <w:p w14:paraId="63E61B9F">
      <w:pPr>
        <w:spacing w:line="240" w:lineRule="auto"/>
        <w:ind w:firstLine="300"/>
        <w:rPr>
          <w:sz w:val="28"/>
          <w:szCs w:val="28"/>
        </w:rPr>
      </w:pPr>
      <w:r>
        <w:rPr>
          <w:rFonts w:ascii="方正黑体_GBK" w:hAnsi="方正黑体_GBK" w:eastAsia="方正黑体_GBK" w:cs="宋体"/>
          <w:color w:val="3D3D3D"/>
          <w:sz w:val="20"/>
          <w:szCs w:val="24"/>
        </w:rPr>
        <w:t>理财产品在运作管理过程中，管理人根据实际运作情况发布的其他公告。</w:t>
      </w:r>
    </w:p>
    <w:p w14:paraId="64E7D486">
      <w:pPr>
        <w:spacing w:line="240" w:lineRule="auto"/>
        <w:ind w:firstLine="300"/>
        <w:rPr>
          <w:sz w:val="28"/>
          <w:szCs w:val="28"/>
        </w:rPr>
      </w:pPr>
    </w:p>
    <w:p w14:paraId="2799A6C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668B59A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211124A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363DDC71">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3541D8F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2A1152FC">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204070E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0B53E31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2B9D264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4505138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3E91B75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0A0AF7A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25BBD68E">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_GBK">
    <w:altName w:val="汉仪中黑KW"/>
    <w:panose1 w:val="00000000000000000000"/>
    <w:charset w:val="00"/>
    <w:family w:val="auto"/>
    <w:pitch w:val="default"/>
    <w:sig w:usb0="00000000" w:usb1="00000000" w:usb2="00000000" w:usb3="00000000" w:csb0="00000000" w:csb1="00000000"/>
  </w:font>
  <w:font w:name="Dialog">
    <w:altName w:val="Times New Roman"/>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58A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8B21C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D8B21C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8D78">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6040A"/>
    <w:multiLevelType w:val="multilevel"/>
    <w:tmpl w:val="CA76040A"/>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1">
    <w:nsid w:val="FF7F4AF5"/>
    <w:multiLevelType w:val="multilevel"/>
    <w:tmpl w:val="FF7F4AF5"/>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2">
    <w:nsid w:val="7FE6EF7E"/>
    <w:multiLevelType w:val="multilevel"/>
    <w:tmpl w:val="7FE6EF7E"/>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D6FF05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48563fff"/>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48d0b5b3"/>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d8244315"/>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a5f32ece"/>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202a53f7"/>
    <w:uiPriority w:val="0"/>
  </w:style>
  <w:style w:type="paragraph" w:customStyle="1" w:styleId="20">
    <w:name w:val="toc 185666c48"/>
    <w:basedOn w:val="15"/>
    <w:next w:val="1"/>
    <w:autoRedefine/>
    <w:uiPriority w:val="0"/>
  </w:style>
  <w:style w:type="paragraph" w:customStyle="1" w:styleId="21">
    <w:name w:val="toc 2447d805c"/>
    <w:basedOn w:val="15"/>
    <w:next w:val="1"/>
    <w:autoRedefine/>
    <w:uiPriority w:val="0"/>
    <w:pPr>
      <w:ind w:left="420"/>
    </w:pPr>
  </w:style>
  <w:style w:type="paragraph" w:customStyle="1" w:styleId="22">
    <w:name w:val="toc 3afcba362"/>
    <w:basedOn w:val="15"/>
    <w:next w:val="1"/>
    <w:autoRedefine/>
    <w:uiPriority w:val="0"/>
    <w:pPr>
      <w:ind w:left="840"/>
    </w:pPr>
  </w:style>
  <w:style w:type="paragraph" w:customStyle="1" w:styleId="23">
    <w:name w:val="toc 4b60c8480"/>
    <w:basedOn w:val="15"/>
    <w:next w:val="1"/>
    <w:autoRedefine/>
    <w:uiPriority w:val="0"/>
    <w:pPr>
      <w:ind w:left="1260"/>
    </w:pPr>
  </w:style>
  <w:style w:type="paragraph" w:customStyle="1" w:styleId="24">
    <w:name w:val="toc 59b6df3fd"/>
    <w:basedOn w:val="15"/>
    <w:next w:val="1"/>
    <w:autoRedefine/>
    <w:uiPriority w:val="0"/>
    <w:pPr>
      <w:ind w:left="1680"/>
    </w:pPr>
  </w:style>
  <w:style w:type="paragraph" w:customStyle="1" w:styleId="25">
    <w:name w:val="headerfb2df980"/>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84003eb3"/>
    <w:basedOn w:val="15"/>
    <w:uiPriority w:val="0"/>
    <w:pPr>
      <w:tabs>
        <w:tab w:val="center" w:pos="4153"/>
        <w:tab w:val="right" w:pos="8307"/>
      </w:tabs>
      <w:adjustRightInd/>
      <w:snapToGrid w:val="0"/>
      <w:contextualSpacing w:val="0"/>
      <w:jc w:val="left"/>
    </w:pPr>
    <w:rPr>
      <w:sz w:val="18"/>
    </w:rPr>
  </w:style>
  <w:style w:type="character" w:customStyle="1" w:styleId="27">
    <w:name w:val="Strong31315679"/>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7e14db2a"/>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6169819e"/>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b562a649"/>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c333a980"/>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aa5a527b"/>
    <w:uiPriority w:val="0"/>
  </w:style>
  <w:style w:type="paragraph" w:customStyle="1" w:styleId="34">
    <w:name w:val="Normal Indentad8c6dfc"/>
    <w:basedOn w:val="29"/>
    <w:uiPriority w:val="0"/>
    <w:pPr>
      <w:ind w:firstLine="200" w:firstLineChars="200"/>
    </w:pPr>
  </w:style>
  <w:style w:type="paragraph" w:customStyle="1" w:styleId="35">
    <w:name w:val="toc 5c572bc4a"/>
    <w:basedOn w:val="29"/>
    <w:next w:val="1"/>
    <w:uiPriority w:val="0"/>
    <w:pPr>
      <w:ind w:left="1680"/>
    </w:pPr>
  </w:style>
  <w:style w:type="paragraph" w:customStyle="1" w:styleId="36">
    <w:name w:val="toc 31dfe19b0"/>
    <w:basedOn w:val="29"/>
    <w:next w:val="1"/>
    <w:uiPriority w:val="0"/>
    <w:pPr>
      <w:ind w:left="840"/>
    </w:pPr>
  </w:style>
  <w:style w:type="paragraph" w:customStyle="1" w:styleId="37">
    <w:name w:val="footer0c1e0b6e"/>
    <w:basedOn w:val="29"/>
    <w:uiPriority w:val="0"/>
    <w:pPr>
      <w:tabs>
        <w:tab w:val="center" w:pos="4153"/>
        <w:tab w:val="right" w:pos="8307"/>
      </w:tabs>
      <w:adjustRightInd/>
      <w:snapToGrid w:val="0"/>
      <w:contextualSpacing w:val="0"/>
      <w:jc w:val="left"/>
    </w:pPr>
    <w:rPr>
      <w:sz w:val="18"/>
    </w:rPr>
  </w:style>
  <w:style w:type="paragraph" w:customStyle="1" w:styleId="38">
    <w:name w:val="headerbd0583f3"/>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4b3cba46"/>
    <w:basedOn w:val="29"/>
    <w:next w:val="1"/>
    <w:uiPriority w:val="0"/>
  </w:style>
  <w:style w:type="paragraph" w:customStyle="1" w:styleId="40">
    <w:name w:val="toc 4024f4267"/>
    <w:basedOn w:val="29"/>
    <w:next w:val="1"/>
    <w:uiPriority w:val="0"/>
    <w:pPr>
      <w:ind w:left="1260"/>
    </w:pPr>
  </w:style>
  <w:style w:type="paragraph" w:customStyle="1" w:styleId="41">
    <w:name w:val="toc 23c46274d"/>
    <w:basedOn w:val="29"/>
    <w:next w:val="1"/>
    <w:uiPriority w:val="0"/>
    <w:pPr>
      <w:ind w:left="420"/>
    </w:pPr>
  </w:style>
  <w:style w:type="paragraph" w:customStyle="1" w:styleId="42">
    <w:name w:val="Normal (Web)81b0ec74"/>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cb1ee26ecb1ee26e"/>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86aadb1286aadb12"/>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941b7267941b7267"/>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76b5bed676b5bed6"/>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7870f3df7870f3df"/>
    <w:uiPriority w:val="0"/>
  </w:style>
  <w:style w:type="paragraph" w:customStyle="1" w:styleId="49">
    <w:name w:val="引文目录13e620eb73e620eb7"/>
    <w:basedOn w:val="44"/>
    <w:next w:val="1"/>
    <w:uiPriority w:val="0"/>
    <w:pPr>
      <w:ind w:left="200" w:leftChars="200"/>
    </w:pPr>
  </w:style>
  <w:style w:type="paragraph" w:customStyle="1" w:styleId="50">
    <w:name w:val="toc 5ac7a4227ac7a4227"/>
    <w:basedOn w:val="44"/>
    <w:next w:val="1"/>
    <w:uiPriority w:val="0"/>
    <w:pPr>
      <w:ind w:left="1680"/>
    </w:pPr>
  </w:style>
  <w:style w:type="paragraph" w:customStyle="1" w:styleId="51">
    <w:name w:val="toc 35a5b01ac5a5b01ac"/>
    <w:basedOn w:val="44"/>
    <w:next w:val="1"/>
    <w:uiPriority w:val="0"/>
    <w:pPr>
      <w:ind w:left="840"/>
    </w:pPr>
  </w:style>
  <w:style w:type="paragraph" w:customStyle="1" w:styleId="52">
    <w:name w:val="footer7c29260b7c29260b"/>
    <w:basedOn w:val="44"/>
    <w:uiPriority w:val="0"/>
    <w:pPr>
      <w:tabs>
        <w:tab w:val="center" w:pos="4153"/>
        <w:tab w:val="right" w:pos="8307"/>
      </w:tabs>
      <w:adjustRightInd/>
      <w:snapToGrid w:val="0"/>
      <w:contextualSpacing w:val="0"/>
      <w:jc w:val="left"/>
    </w:pPr>
    <w:rPr>
      <w:sz w:val="18"/>
    </w:rPr>
  </w:style>
  <w:style w:type="paragraph" w:customStyle="1" w:styleId="53">
    <w:name w:val="header4db348744db34874"/>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ec721a40ec721a40"/>
    <w:basedOn w:val="44"/>
    <w:next w:val="1"/>
    <w:uiPriority w:val="0"/>
  </w:style>
  <w:style w:type="paragraph" w:customStyle="1" w:styleId="55">
    <w:name w:val="toc 4b46c3721b46c3721"/>
    <w:basedOn w:val="44"/>
    <w:next w:val="1"/>
    <w:uiPriority w:val="0"/>
    <w:pPr>
      <w:ind w:left="1260"/>
    </w:pPr>
  </w:style>
  <w:style w:type="paragraph" w:customStyle="1" w:styleId="56">
    <w:name w:val="toc 25dc6fc785dc6fc78"/>
    <w:basedOn w:val="44"/>
    <w:next w:val="1"/>
    <w:uiPriority w:val="0"/>
    <w:pPr>
      <w:ind w:left="420"/>
    </w:pPr>
  </w:style>
  <w:style w:type="paragraph" w:customStyle="1" w:styleId="57">
    <w:name w:val="列出段落1db1830dbdb1830db"/>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28</Pages>
  <Words>4074</Words>
  <Characters>4086</Characters>
  <Lines>77</Lines>
  <Paragraphs>27</Paragraphs>
  <TotalTime>9</TotalTime>
  <ScaleCrop>false</ScaleCrop>
  <LinksUpToDate>false</LinksUpToDate>
  <CharactersWithSpaces>4087</CharactersWithSpaces>
  <Application>WPS Office_12.1.25869.25869_F1E327BC-269C-435d-A152-05C5408002CA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2026-06-14T13:33:15Z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02AEF6DED8204361AEB85E71A6BDE641</vt:lpwstr>
  </property>
</Properties>
</file>