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A1C6C">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35A56CCB">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4F27C3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09A3C93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408F68F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C4A28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280055E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04A5DA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16AB3E8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230AB1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w:t>
      </w:r>
      <w:bookmarkStart w:id="0" w:name="_GoBack"/>
      <w:bookmarkEnd w:id="0"/>
      <w:r>
        <w:rPr>
          <w:rFonts w:hint="eastAsia" w:ascii="方正黑体_GBK" w:hAnsi="方正黑体_GBK" w:eastAsia="方正黑体_GBK"/>
          <w:vanish w:val="0"/>
          <w:color w:val="3D3D3D"/>
          <w:kern w:val="0"/>
          <w:sz w:val="18"/>
          <w:szCs w:val="18"/>
        </w:rPr>
        <w:t>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5D7503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389D4FA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43BB3F5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734CA07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61BEEB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75A918C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173A0A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3623EF1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4E6C449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2BD2219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3154A9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2A35759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1243992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7C9FA74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6016DA3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4A9A9A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6DD5A9E5">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669F2A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75367223">
      <w:pPr>
        <w:spacing w:line="240" w:lineRule="auto"/>
        <w:rPr>
          <w:sz w:val="28"/>
          <w:szCs w:val="28"/>
        </w:rPr>
      </w:pPr>
      <w:r>
        <w:rPr>
          <w:rFonts w:ascii="方正黑体_GBK" w:hAnsi="方正黑体_GBK" w:eastAsia="方正黑体_GBK" w:cs="宋体"/>
          <w:b/>
          <w:sz w:val="18"/>
          <w:szCs w:val="24"/>
        </w:rPr>
        <w:t xml:space="preserve">    1.债券类资产投资风险</w:t>
      </w:r>
    </w:p>
    <w:p w14:paraId="090F64E2">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6E116893">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1D3F05B4">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C7E2E68">
      <w:pPr>
        <w:spacing w:line="240" w:lineRule="auto"/>
        <w:rPr>
          <w:sz w:val="28"/>
          <w:szCs w:val="28"/>
        </w:rPr>
      </w:pPr>
      <w:r>
        <w:rPr>
          <w:rFonts w:ascii="方正黑体_GBK" w:hAnsi="方正黑体_GBK" w:eastAsia="方正黑体_GBK" w:cs="宋体"/>
          <w:b/>
          <w:sz w:val="18"/>
          <w:szCs w:val="24"/>
        </w:rPr>
        <w:t xml:space="preserve">    3.资产管理产品投资风险</w:t>
      </w:r>
    </w:p>
    <w:p w14:paraId="438BFE40">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7F8DCECB">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844ADD6">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w:t>
      </w:r>
    </w:p>
    <w:p w14:paraId="13C4CA8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287B0F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59808C39">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0FFD9910">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670CD5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61240C4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796E29B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32BBBE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53BD28A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5DBEC81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30ADEF7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1E1AEB5D">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7CE538F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19A091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51D5080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7C57AF93">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6EDFADC4">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7ACDF6A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702590E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58DF7735">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0616EC74">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3A4EE1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41D27E0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97898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119DDFF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0DDBE62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069634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66DF6A70">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7BDB7E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1C234089">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76AE19B7">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1D7AD8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1F632035">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1E7871F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7B1A2FB1">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A516D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4B1552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2C34537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56176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7C741C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0C08C09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21B57080">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AC50D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014C953B">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E9B1B9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0"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50BDAB5C">
      <w:pPr>
        <w:spacing w:line="240" w:lineRule="auto"/>
        <w:rPr>
          <w:sz w:val="28"/>
          <w:szCs w:val="28"/>
        </w:rPr>
      </w:pPr>
      <w:r>
        <w:rPr>
          <w:rFonts w:ascii="方正黑体_GBK" w:hAnsi="方正黑体_GBK" w:eastAsia="方正黑体_GBK"/>
          <w:sz w:val="28"/>
          <w:szCs w:val="28"/>
        </w:rPr>
        <w:br w:type="page"/>
      </w:r>
    </w:p>
    <w:p w14:paraId="05F133DD">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5379ED93">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1FB956EB">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1C6546DA">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1434A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4561C2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南银理财珠联璧合鑫逸稳一年276期封闭式公募人民币理财产品</w:t>
            </w:r>
          </w:p>
        </w:tc>
      </w:tr>
      <w:tr w14:paraId="224FF542">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67C06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1762E3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6B9B764B">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05EA41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1F0C58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4FEE8703">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06C9E5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4371E4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ZZ700322600152</w:t>
            </w:r>
          </w:p>
        </w:tc>
      </w:tr>
      <w:tr w14:paraId="1E83FFDF">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F1F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5BE80A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Z7003226000161(投资者可依据该编码在中国理财网www.chinawealth.com.cn查询理财产品相关信息）</w:t>
            </w:r>
          </w:p>
        </w:tc>
      </w:tr>
      <w:tr w14:paraId="517BB53B">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732AD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130CEE21">
            <w:pPr>
              <w:spacing w:line="240" w:lineRule="auto"/>
              <w:rPr>
                <w:sz w:val="28"/>
                <w:szCs w:val="28"/>
              </w:rPr>
            </w:pPr>
            <w:r>
              <w:rPr>
                <w:rFonts w:ascii="方正黑体_GBK" w:hAnsi="方正黑体_GBK" w:eastAsia="方正黑体_GBK" w:cs="宋体"/>
                <w:sz w:val="22"/>
                <w:szCs w:val="22"/>
              </w:rPr>
              <w:t>A份额：NYXY000925</w:t>
            </w:r>
          </w:p>
          <w:p w14:paraId="23F11377">
            <w:pPr>
              <w:spacing w:line="240" w:lineRule="auto"/>
              <w:rPr>
                <w:sz w:val="28"/>
                <w:szCs w:val="28"/>
              </w:rPr>
            </w:pPr>
            <w:r>
              <w:rPr>
                <w:rFonts w:ascii="方正黑体_GBK" w:hAnsi="方正黑体_GBK" w:eastAsia="方正黑体_GBK" w:cs="宋体"/>
                <w:sz w:val="22"/>
                <w:szCs w:val="22"/>
              </w:rPr>
              <w:t>B份额：NYXY000926</w:t>
            </w:r>
          </w:p>
          <w:p w14:paraId="070472A2">
            <w:pPr>
              <w:spacing w:line="240" w:lineRule="auto"/>
              <w:rPr>
                <w:sz w:val="28"/>
                <w:szCs w:val="28"/>
              </w:rPr>
            </w:pPr>
            <w:r>
              <w:rPr>
                <w:rFonts w:ascii="方正黑体_GBK" w:hAnsi="方正黑体_GBK" w:eastAsia="方正黑体_GBK" w:cs="宋体"/>
                <w:sz w:val="22"/>
                <w:szCs w:val="22"/>
              </w:rPr>
              <w:t>C份额：NYXY000927</w:t>
            </w:r>
          </w:p>
          <w:p w14:paraId="74949C78">
            <w:pPr>
              <w:spacing w:line="240" w:lineRule="auto"/>
              <w:rPr>
                <w:sz w:val="28"/>
                <w:szCs w:val="28"/>
              </w:rPr>
            </w:pPr>
            <w:r>
              <w:rPr>
                <w:rFonts w:ascii="方正黑体_GBK" w:hAnsi="方正黑体_GBK" w:eastAsia="方正黑体_GBK" w:cs="宋体"/>
                <w:sz w:val="22"/>
                <w:szCs w:val="22"/>
              </w:rPr>
              <w:t>F份额：NYXY001085</w:t>
            </w:r>
          </w:p>
          <w:p w14:paraId="4C56C0E8">
            <w:pPr>
              <w:spacing w:line="240" w:lineRule="auto"/>
              <w:rPr>
                <w:sz w:val="28"/>
                <w:szCs w:val="28"/>
              </w:rPr>
            </w:pPr>
            <w:r>
              <w:rPr>
                <w:rFonts w:ascii="方正黑体_GBK" w:hAnsi="方正黑体_GBK" w:eastAsia="方正黑体_GBK" w:cs="宋体"/>
                <w:sz w:val="22"/>
                <w:szCs w:val="22"/>
              </w:rPr>
              <w:t>L份额：NYXY000928</w:t>
            </w:r>
          </w:p>
          <w:p w14:paraId="6E9212E8">
            <w:pPr>
              <w:spacing w:line="240" w:lineRule="auto"/>
              <w:rPr>
                <w:sz w:val="28"/>
                <w:szCs w:val="28"/>
              </w:rPr>
            </w:pPr>
            <w:r>
              <w:rPr>
                <w:rFonts w:ascii="方正黑体_GBK" w:hAnsi="方正黑体_GBK" w:eastAsia="方正黑体_GBK" w:cs="宋体"/>
                <w:sz w:val="22"/>
                <w:szCs w:val="22"/>
              </w:rPr>
              <w:t>O份额：NYXY000929</w:t>
            </w:r>
          </w:p>
          <w:p w14:paraId="3B19531D">
            <w:pPr>
              <w:spacing w:line="240" w:lineRule="auto"/>
              <w:rPr>
                <w:sz w:val="28"/>
                <w:szCs w:val="28"/>
              </w:rPr>
            </w:pPr>
            <w:r>
              <w:rPr>
                <w:rFonts w:ascii="方正黑体_GBK" w:hAnsi="方正黑体_GBK" w:eastAsia="方正黑体_GBK" w:cs="宋体"/>
                <w:sz w:val="22"/>
                <w:szCs w:val="22"/>
              </w:rPr>
              <w:t>A2份额：NYXY001086</w:t>
            </w:r>
          </w:p>
          <w:p w14:paraId="33DBB136">
            <w:pPr>
              <w:spacing w:line="240" w:lineRule="auto"/>
              <w:rPr>
                <w:sz w:val="28"/>
                <w:szCs w:val="28"/>
              </w:rPr>
            </w:pPr>
            <w:r>
              <w:rPr>
                <w:rFonts w:ascii="方正黑体_GBK" w:hAnsi="方正黑体_GBK" w:eastAsia="方正黑体_GBK" w:cs="宋体"/>
                <w:sz w:val="22"/>
                <w:szCs w:val="22"/>
              </w:rPr>
              <w:t>B2份额：NYXY001087</w:t>
            </w:r>
          </w:p>
          <w:p w14:paraId="45C3081E">
            <w:pPr>
              <w:spacing w:line="240" w:lineRule="auto"/>
              <w:rPr>
                <w:sz w:val="28"/>
                <w:szCs w:val="28"/>
              </w:rPr>
            </w:pPr>
            <w:r>
              <w:rPr>
                <w:rFonts w:ascii="方正黑体_GBK" w:hAnsi="方正黑体_GBK" w:eastAsia="方正黑体_GBK" w:cs="宋体"/>
                <w:sz w:val="22"/>
                <w:szCs w:val="22"/>
              </w:rPr>
              <w:t>C2份额：NYXY001088</w:t>
            </w:r>
          </w:p>
          <w:p w14:paraId="7544DC14">
            <w:pPr>
              <w:spacing w:line="240" w:lineRule="auto"/>
              <w:rPr>
                <w:sz w:val="28"/>
                <w:szCs w:val="28"/>
              </w:rPr>
            </w:pPr>
            <w:r>
              <w:rPr>
                <w:rFonts w:ascii="方正黑体_GBK" w:hAnsi="方正黑体_GBK" w:eastAsia="方正黑体_GBK" w:cs="宋体"/>
                <w:sz w:val="22"/>
                <w:szCs w:val="22"/>
              </w:rPr>
              <w:t>Q份额：NYXY000930</w:t>
            </w:r>
          </w:p>
          <w:p w14:paraId="766DBFF4">
            <w:pPr>
              <w:spacing w:line="240" w:lineRule="auto"/>
              <w:rPr>
                <w:sz w:val="28"/>
                <w:szCs w:val="28"/>
              </w:rPr>
            </w:pPr>
            <w:r>
              <w:rPr>
                <w:rFonts w:ascii="方正黑体_GBK" w:hAnsi="方正黑体_GBK" w:eastAsia="方正黑体_GBK" w:cs="宋体"/>
                <w:sz w:val="22"/>
                <w:szCs w:val="22"/>
              </w:rPr>
              <w:t>Q1份额：NYXY000931</w:t>
            </w:r>
          </w:p>
          <w:p w14:paraId="21B72F5B">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0FBE3550">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B18F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6530B75E">
            <w:pPr>
              <w:spacing w:line="240" w:lineRule="auto"/>
              <w:rPr>
                <w:sz w:val="28"/>
                <w:szCs w:val="28"/>
              </w:rPr>
            </w:pPr>
            <w:r>
              <w:rPr>
                <w:rFonts w:ascii="方正黑体_GBK" w:hAnsi="方正黑体_GBK" w:eastAsia="方正黑体_GBK" w:cs="宋体"/>
                <w:sz w:val="22"/>
                <w:szCs w:val="22"/>
              </w:rPr>
              <w:t>全国</w:t>
            </w:r>
          </w:p>
        </w:tc>
      </w:tr>
      <w:tr w14:paraId="15F3ABE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0E68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3D72FC09">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3C70F166">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EEBF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54298D42">
            <w:pPr>
              <w:spacing w:line="240" w:lineRule="auto"/>
              <w:rPr>
                <w:sz w:val="28"/>
                <w:szCs w:val="28"/>
              </w:rPr>
            </w:pPr>
            <w:r>
              <w:rPr>
                <w:rFonts w:ascii="方正黑体_GBK" w:hAnsi="方正黑体_GBK" w:eastAsia="方正黑体_GBK" w:cs="宋体"/>
                <w:sz w:val="22"/>
                <w:szCs w:val="22"/>
              </w:rPr>
              <w:t>本理财产品规模上限为100亿元。</w:t>
            </w:r>
          </w:p>
        </w:tc>
      </w:tr>
      <w:tr w14:paraId="7F98BBFD">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7CD1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70F03C2B">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3A53DC15">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5E05FF16">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6B2E5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2928AF94">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6A261E5A">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江苏苏州农村商业银行股份有限公司（除高净值客户外的其他客户）、金华银行股份有限公司、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amu增量等于0客户）、德州银行股份有限公司、宁夏银行股份有限公司、九江银行股份有限公司、海南银行股份有限公司、廊坊银行股份有限公司、乌鲁木齐银行股份有限公司、上海农村商业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w:t>
            </w:r>
          </w:p>
          <w:p w14:paraId="684100D5">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温州银行股份有限公司、齐商银行股份有限公司、嘉兴银行股份有限公司（私行客户）、广州银行股份有限公司、江苏苏州农村商业银行股份有限公司（高净值客户）、秦皇岛银行股份有限公司、宁波东海银行股份有限公司、齐鲁银行股份有限公司(白金/私行客户)、天津农村商业银行股份有限公司(企业拓展客户)、山西银行股份有限公司（aum增量大于5万元小于15万元客户）、东营银行股份有限公司、永丰银行(中国)有限公司、江苏高淳农村商业银行股份有限公司、江苏新沂农村商业银行股份有限公司（1元起购）、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504276C1">
            <w:pPr>
              <w:spacing w:line="240" w:lineRule="auto"/>
              <w:rPr>
                <w:sz w:val="28"/>
                <w:szCs w:val="28"/>
              </w:rPr>
            </w:pPr>
            <w:r>
              <w:rPr>
                <w:rFonts w:ascii="方正黑体_GBK" w:hAnsi="方正黑体_GBK" w:eastAsia="方正黑体_GBK" w:cs="宋体"/>
                <w:sz w:val="22"/>
                <w:szCs w:val="22"/>
              </w:rPr>
              <w:t>C份额：南京银行股份有限公司(对公客户)、烟台银行股份有限公司、蒙商银行股份有限公司（代发工资客户）、郑州银行股份有限公司、日照银行股份有限公司、齐鲁银行股份有限公司(财富客户)、天津农村商业银行股份有限公司(个人新客)、山西银行股份有限公司(aum增量大于40万元客户)、江苏泰兴农村商业银行股份有限公司、江苏响水农村商业银行股份有限公司(50万元起购)、江苏靖江农村商业银行股份有限公司、江苏新沂农村商业银行股份有限公司（30万元起购）、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6445F580">
            <w:pPr>
              <w:spacing w:line="240" w:lineRule="auto"/>
              <w:rPr>
                <w:sz w:val="28"/>
                <w:szCs w:val="28"/>
              </w:rPr>
            </w:pPr>
            <w:r>
              <w:rPr>
                <w:rFonts w:ascii="方正黑体_GBK" w:hAnsi="方正黑体_GBK" w:eastAsia="方正黑体_GBK" w:cs="宋体"/>
                <w:sz w:val="22"/>
                <w:szCs w:val="22"/>
              </w:rPr>
              <w:t>F份额：兴业银行股份有限公司。</w:t>
            </w:r>
          </w:p>
          <w:p w14:paraId="1A24E46B">
            <w:pPr>
              <w:spacing w:line="240" w:lineRule="auto"/>
              <w:rPr>
                <w:sz w:val="28"/>
                <w:szCs w:val="28"/>
              </w:rPr>
            </w:pPr>
            <w:r>
              <w:rPr>
                <w:rFonts w:ascii="方正黑体_GBK" w:hAnsi="方正黑体_GBK" w:eastAsia="方正黑体_GBK" w:cs="宋体"/>
                <w:sz w:val="22"/>
                <w:szCs w:val="22"/>
              </w:rPr>
              <w:t>L份额：潍坊银行股份有限公司、泰安银行股份有限公司（除私行客户外的其他客户）、天津农村商业银行股份有限公司(私钻客户)、江苏兴化农村商业银行股份有限公司(人民医院职工客户)。</w:t>
            </w:r>
          </w:p>
          <w:p w14:paraId="242D13AA">
            <w:pPr>
              <w:spacing w:line="240" w:lineRule="auto"/>
              <w:rPr>
                <w:sz w:val="28"/>
                <w:szCs w:val="28"/>
              </w:rPr>
            </w:pPr>
            <w:r>
              <w:rPr>
                <w:rFonts w:ascii="方正黑体_GBK" w:hAnsi="方正黑体_GBK" w:eastAsia="方正黑体_GBK" w:cs="宋体"/>
                <w:sz w:val="22"/>
                <w:szCs w:val="22"/>
              </w:rPr>
              <w:t>O份额：吉林银行股份有限公司。</w:t>
            </w:r>
          </w:p>
          <w:p w14:paraId="04B569F8">
            <w:pPr>
              <w:spacing w:line="240" w:lineRule="auto"/>
              <w:rPr>
                <w:sz w:val="28"/>
                <w:szCs w:val="28"/>
              </w:rPr>
            </w:pPr>
            <w:r>
              <w:rPr>
                <w:rFonts w:ascii="方正黑体_GBK" w:hAnsi="方正黑体_GBK" w:eastAsia="方正黑体_GBK" w:cs="宋体"/>
                <w:sz w:val="22"/>
                <w:szCs w:val="22"/>
              </w:rPr>
              <w:t>A2份额：朝阳银行股份有限公司。</w:t>
            </w:r>
          </w:p>
          <w:p w14:paraId="5AF80F23">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2FD033C0">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5EFDB412">
            <w:pPr>
              <w:spacing w:line="240" w:lineRule="auto"/>
              <w:rPr>
                <w:sz w:val="28"/>
                <w:szCs w:val="28"/>
              </w:rPr>
            </w:pPr>
            <w:r>
              <w:rPr>
                <w:rFonts w:ascii="方正黑体_GBK" w:hAnsi="方正黑体_GBK" w:eastAsia="方正黑体_GBK" w:cs="宋体"/>
                <w:sz w:val="22"/>
                <w:szCs w:val="22"/>
              </w:rPr>
              <w:t>Q份额：天津农村商业银行股份有限公司(私行客户)、泰安银行股份有限公司（私行客户）、桂林银行有限公司（财富客户）。</w:t>
            </w:r>
          </w:p>
          <w:p w14:paraId="23D715E6">
            <w:pPr>
              <w:spacing w:line="240" w:lineRule="auto"/>
              <w:rPr>
                <w:sz w:val="28"/>
                <w:szCs w:val="28"/>
              </w:rPr>
            </w:pPr>
            <w:r>
              <w:rPr>
                <w:rFonts w:ascii="方正黑体_GBK" w:hAnsi="方正黑体_GBK" w:eastAsia="方正黑体_GBK" w:cs="宋体"/>
                <w:sz w:val="22"/>
                <w:szCs w:val="22"/>
              </w:rPr>
              <w:t>Q1份额：徽商银行股份有限公司（代发客户）。</w:t>
            </w:r>
          </w:p>
          <w:p w14:paraId="3D6F12AE">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1192565B">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7C5D30A1">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ECE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1EF06E26">
            <w:pPr>
              <w:spacing w:line="240" w:lineRule="auto"/>
              <w:rPr>
                <w:sz w:val="28"/>
                <w:szCs w:val="28"/>
              </w:rPr>
            </w:pPr>
            <w:r>
              <w:rPr>
                <w:rFonts w:ascii="方正黑体_GBK" w:hAnsi="方正黑体_GBK" w:eastAsia="方正黑体_GBK" w:cs="宋体"/>
                <w:sz w:val="22"/>
                <w:szCs w:val="22"/>
              </w:rPr>
              <w:t>A份额/B份额/C份额/F份额/L份额/O份额/A2份额/B2份额/C2份额/Q份额/Q1份额：</w:t>
            </w:r>
          </w:p>
          <w:p w14:paraId="3A757352">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2B4A6685">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4EF85DE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034A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668819D1">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5F34C087">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4297019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BD349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CD352A6">
            <w:pPr>
              <w:spacing w:line="240" w:lineRule="auto"/>
              <w:rPr>
                <w:sz w:val="28"/>
                <w:szCs w:val="28"/>
              </w:rPr>
            </w:pPr>
            <w:r>
              <w:rPr>
                <w:rFonts w:ascii="方正黑体_GBK" w:hAnsi="方正黑体_GBK" w:eastAsia="方正黑体_GBK" w:cs="宋体"/>
                <w:color w:val="000000"/>
                <w:sz w:val="22"/>
                <w:szCs w:val="22"/>
              </w:rPr>
              <w:t>2026年06月03日 09:00—2026年06月09日 17:00</w:t>
            </w:r>
          </w:p>
        </w:tc>
      </w:tr>
      <w:tr w14:paraId="1DAC6D8F">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852772">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7E40712">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72D0274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5FAB70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2E610F66">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7C39F22A">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F398C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48B7B6EC">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2026年06月10日</w:t>
            </w:r>
          </w:p>
        </w:tc>
      </w:tr>
      <w:tr w14:paraId="69BD6240">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659CD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326A5268">
            <w:pPr>
              <w:spacing w:line="240" w:lineRule="auto"/>
              <w:rPr>
                <w:sz w:val="28"/>
                <w:szCs w:val="28"/>
              </w:rPr>
            </w:pPr>
            <w:r>
              <w:rPr>
                <w:rFonts w:ascii="方正黑体_GBK" w:hAnsi="方正黑体_GBK" w:eastAsia="方正黑体_GBK" w:cs="宋体"/>
                <w:sz w:val="22"/>
                <w:szCs w:val="22"/>
              </w:rPr>
              <w:t>2026年06月10日—实际到期日（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36DC797D">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046D6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584BF5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2027年07月14日</w:t>
            </w:r>
          </w:p>
        </w:tc>
      </w:tr>
      <w:tr w14:paraId="1CAA700F">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EAC2AFC">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10250A12">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1FC2B25D">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AF1B4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479B8A74">
            <w:pPr>
              <w:spacing w:line="240" w:lineRule="auto"/>
              <w:rPr>
                <w:sz w:val="28"/>
                <w:szCs w:val="28"/>
              </w:rPr>
            </w:pPr>
            <w:r>
              <w:rPr>
                <w:rFonts w:ascii="方正黑体_GBK" w:hAnsi="方正黑体_GBK" w:eastAsia="方正黑体_GBK" w:cs="宋体"/>
                <w:sz w:val="22"/>
                <w:szCs w:val="22"/>
              </w:rPr>
              <w:t>本理财产品存续期间不进行分红。</w:t>
            </w:r>
          </w:p>
          <w:p w14:paraId="37C0B113">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2F286326">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7011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003E997C">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w:t>
            </w:r>
          </w:p>
        </w:tc>
      </w:tr>
      <w:tr w14:paraId="21472BC0">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44CC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674B42CA">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5D349077">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0070D749">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765C0B8E">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24C80983">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305604E2">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4A18E45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B19E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56DDCA4E">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35D99945">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4C3141C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0F2B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1CA208D6">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2EBBF352">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260F765">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36BD92E7">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64E868E9">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227A533B">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57C6E955">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677D19B2">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3E539E99">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371A3994">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0AE13055">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0BA63DF1">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7BE60F8F">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581609EC">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3443DB2E">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6364C581">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018F256E">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71AA9A4B">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12440231">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03B6F081">
            <w:pPr>
              <w:spacing w:line="240" w:lineRule="auto"/>
              <w:rPr>
                <w:sz w:val="28"/>
                <w:szCs w:val="28"/>
              </w:rPr>
            </w:pPr>
            <w:r>
              <w:rPr>
                <w:rFonts w:ascii="方正黑体_GBK" w:hAnsi="方正黑体_GBK" w:eastAsia="方正黑体_GBK" w:cs="宋体"/>
                <w:b/>
                <w:sz w:val="22"/>
                <w:szCs w:val="22"/>
              </w:rPr>
              <w:t>以上资产剩余期限均不超过产品期限。</w:t>
            </w:r>
          </w:p>
          <w:p w14:paraId="38546511">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1C5EC7E">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16A5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3E9A11A1">
            <w:pPr>
              <w:spacing w:line="240" w:lineRule="auto"/>
              <w:rPr>
                <w:sz w:val="28"/>
                <w:szCs w:val="28"/>
              </w:rPr>
            </w:pPr>
            <w:r>
              <w:rPr>
                <w:rFonts w:ascii="方正黑体_GBK" w:hAnsi="方正黑体_GBK" w:eastAsia="方正黑体_GBK" w:cs="宋体"/>
                <w:sz w:val="22"/>
                <w:szCs w:val="22"/>
              </w:rPr>
              <w:t>A份额：业绩比较基准为年化2.4%-2.65% 。</w:t>
            </w:r>
          </w:p>
          <w:p w14:paraId="4617D4A3">
            <w:pPr>
              <w:spacing w:line="240" w:lineRule="auto"/>
              <w:rPr>
                <w:sz w:val="28"/>
                <w:szCs w:val="28"/>
              </w:rPr>
            </w:pPr>
            <w:r>
              <w:rPr>
                <w:rFonts w:ascii="方正黑体_GBK" w:hAnsi="方正黑体_GBK" w:eastAsia="方正黑体_GBK" w:cs="宋体"/>
                <w:sz w:val="22"/>
                <w:szCs w:val="22"/>
              </w:rPr>
              <w:t>B份额：业绩比较基准为年化2.5%-2.75% 。</w:t>
            </w:r>
          </w:p>
          <w:p w14:paraId="60ADD4F6">
            <w:pPr>
              <w:spacing w:line="240" w:lineRule="auto"/>
              <w:rPr>
                <w:sz w:val="28"/>
                <w:szCs w:val="28"/>
              </w:rPr>
            </w:pPr>
            <w:r>
              <w:rPr>
                <w:rFonts w:ascii="方正黑体_GBK" w:hAnsi="方正黑体_GBK" w:eastAsia="方正黑体_GBK" w:cs="宋体"/>
                <w:sz w:val="22"/>
                <w:szCs w:val="22"/>
              </w:rPr>
              <w:t>C份额：业绩比较基准为年化2.6%-2.85% 。</w:t>
            </w:r>
          </w:p>
          <w:p w14:paraId="7FAFA28E">
            <w:pPr>
              <w:spacing w:line="240" w:lineRule="auto"/>
              <w:rPr>
                <w:sz w:val="28"/>
                <w:szCs w:val="28"/>
              </w:rPr>
            </w:pPr>
            <w:r>
              <w:rPr>
                <w:rFonts w:ascii="方正黑体_GBK" w:hAnsi="方正黑体_GBK" w:eastAsia="方正黑体_GBK" w:cs="宋体"/>
                <w:sz w:val="22"/>
                <w:szCs w:val="22"/>
              </w:rPr>
              <w:t>F份额：业绩比较基准为年化2.4%-2.65% 。</w:t>
            </w:r>
          </w:p>
          <w:p w14:paraId="69CF86A2">
            <w:pPr>
              <w:spacing w:line="240" w:lineRule="auto"/>
              <w:rPr>
                <w:sz w:val="28"/>
                <w:szCs w:val="28"/>
              </w:rPr>
            </w:pPr>
            <w:r>
              <w:rPr>
                <w:rFonts w:ascii="方正黑体_GBK" w:hAnsi="方正黑体_GBK" w:eastAsia="方正黑体_GBK" w:cs="宋体"/>
                <w:sz w:val="22"/>
                <w:szCs w:val="22"/>
              </w:rPr>
              <w:t>L份额：业绩比较基准为年化2.65%-2.9% 。</w:t>
            </w:r>
          </w:p>
          <w:p w14:paraId="037FC8E9">
            <w:pPr>
              <w:spacing w:line="240" w:lineRule="auto"/>
              <w:rPr>
                <w:sz w:val="28"/>
                <w:szCs w:val="28"/>
              </w:rPr>
            </w:pPr>
            <w:r>
              <w:rPr>
                <w:rFonts w:ascii="方正黑体_GBK" w:hAnsi="方正黑体_GBK" w:eastAsia="方正黑体_GBK" w:cs="宋体"/>
                <w:sz w:val="22"/>
                <w:szCs w:val="22"/>
              </w:rPr>
              <w:t>O份额：业绩比较基准为年化2.45%-2.7% 。</w:t>
            </w:r>
          </w:p>
          <w:p w14:paraId="36793BFC">
            <w:pPr>
              <w:spacing w:line="240" w:lineRule="auto"/>
              <w:rPr>
                <w:sz w:val="28"/>
                <w:szCs w:val="28"/>
              </w:rPr>
            </w:pPr>
            <w:r>
              <w:rPr>
                <w:rFonts w:ascii="方正黑体_GBK" w:hAnsi="方正黑体_GBK" w:eastAsia="方正黑体_GBK" w:cs="宋体"/>
                <w:sz w:val="22"/>
                <w:szCs w:val="22"/>
              </w:rPr>
              <w:t>A2份额：业绩比较基准为年化2.35%-2.6% 。</w:t>
            </w:r>
          </w:p>
          <w:p w14:paraId="4E67DF21">
            <w:pPr>
              <w:spacing w:line="240" w:lineRule="auto"/>
              <w:rPr>
                <w:sz w:val="28"/>
                <w:szCs w:val="28"/>
              </w:rPr>
            </w:pPr>
            <w:r>
              <w:rPr>
                <w:rFonts w:ascii="方正黑体_GBK" w:hAnsi="方正黑体_GBK" w:eastAsia="方正黑体_GBK" w:cs="宋体"/>
                <w:sz w:val="22"/>
                <w:szCs w:val="22"/>
              </w:rPr>
              <w:t>B2份额：业绩比较基准为年化2.45%-2.7% 。</w:t>
            </w:r>
          </w:p>
          <w:p w14:paraId="2A4FDD45">
            <w:pPr>
              <w:spacing w:line="240" w:lineRule="auto"/>
              <w:rPr>
                <w:sz w:val="28"/>
                <w:szCs w:val="28"/>
              </w:rPr>
            </w:pPr>
            <w:r>
              <w:rPr>
                <w:rFonts w:ascii="方正黑体_GBK" w:hAnsi="方正黑体_GBK" w:eastAsia="方正黑体_GBK" w:cs="宋体"/>
                <w:sz w:val="22"/>
                <w:szCs w:val="22"/>
              </w:rPr>
              <w:t>C2份额：业绩比较基准为年化2.55%-2.8% 。</w:t>
            </w:r>
          </w:p>
          <w:p w14:paraId="1D83DA82">
            <w:pPr>
              <w:spacing w:line="240" w:lineRule="auto"/>
              <w:rPr>
                <w:sz w:val="28"/>
                <w:szCs w:val="28"/>
              </w:rPr>
            </w:pPr>
            <w:r>
              <w:rPr>
                <w:rFonts w:ascii="方正黑体_GBK" w:hAnsi="方正黑体_GBK" w:eastAsia="方正黑体_GBK" w:cs="宋体"/>
                <w:sz w:val="22"/>
                <w:szCs w:val="22"/>
              </w:rPr>
              <w:t>Q份额：业绩比较基准为年化2.55%-2.8% 。</w:t>
            </w:r>
          </w:p>
          <w:p w14:paraId="0C7576B6">
            <w:pPr>
              <w:spacing w:line="240" w:lineRule="auto"/>
              <w:rPr>
                <w:sz w:val="28"/>
                <w:szCs w:val="28"/>
              </w:rPr>
            </w:pPr>
            <w:r>
              <w:rPr>
                <w:rFonts w:ascii="方正黑体_GBK" w:hAnsi="方正黑体_GBK" w:eastAsia="方正黑体_GBK" w:cs="宋体"/>
                <w:sz w:val="22"/>
                <w:szCs w:val="22"/>
              </w:rPr>
              <w:t>Q1份额：业绩比较基准为年化2.53%-2.78% 。</w:t>
            </w:r>
          </w:p>
          <w:p w14:paraId="5CF9994D">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57C9FA80">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08618785">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7EFE645A">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D864CF">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68325940">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72405DDE">
            <w:pPr>
              <w:spacing w:line="240" w:lineRule="auto"/>
              <w:rPr>
                <w:sz w:val="28"/>
                <w:szCs w:val="28"/>
              </w:rPr>
            </w:pPr>
            <w:r>
              <w:rPr>
                <w:rFonts w:ascii="方正黑体_GBK" w:hAnsi="方正黑体_GBK" w:eastAsia="方正黑体_GBK" w:cs="宋体"/>
                <w:b/>
                <w:sz w:val="22"/>
                <w:szCs w:val="22"/>
              </w:rPr>
              <w:t>赎回费：本理财产品暂不收取赎回费。</w:t>
            </w:r>
          </w:p>
          <w:p w14:paraId="395CEE80">
            <w:pPr>
              <w:spacing w:line="240" w:lineRule="auto"/>
              <w:rPr>
                <w:sz w:val="28"/>
                <w:szCs w:val="28"/>
              </w:rPr>
            </w:pPr>
            <w:r>
              <w:rPr>
                <w:rFonts w:ascii="方正黑体_GBK" w:hAnsi="方正黑体_GBK" w:eastAsia="方正黑体_GBK" w:cs="宋体"/>
                <w:b/>
                <w:sz w:val="22"/>
                <w:szCs w:val="22"/>
              </w:rPr>
              <w:t>销售费：</w:t>
            </w:r>
          </w:p>
          <w:p w14:paraId="004C5CB3">
            <w:pPr>
              <w:spacing w:line="240" w:lineRule="auto"/>
              <w:rPr>
                <w:sz w:val="28"/>
                <w:szCs w:val="28"/>
              </w:rPr>
            </w:pPr>
            <w:r>
              <w:rPr>
                <w:rFonts w:ascii="方正黑体_GBK" w:hAnsi="方正黑体_GBK" w:eastAsia="方正黑体_GBK" w:cs="宋体"/>
                <w:b/>
                <w:sz w:val="22"/>
                <w:szCs w:val="22"/>
              </w:rPr>
              <w:t>A份额：</w:t>
            </w:r>
          </w:p>
          <w:p w14:paraId="10F831CC">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0BC9217B">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EA76C64">
            <w:pPr>
              <w:spacing w:line="240" w:lineRule="auto"/>
              <w:rPr>
                <w:sz w:val="28"/>
                <w:szCs w:val="28"/>
              </w:rPr>
            </w:pPr>
            <w:r>
              <w:rPr>
                <w:rFonts w:ascii="方正黑体_GBK" w:hAnsi="方正黑体_GBK" w:eastAsia="方正黑体_GBK" w:cs="宋体"/>
                <w:b/>
                <w:sz w:val="22"/>
                <w:szCs w:val="22"/>
              </w:rPr>
              <w:t>B份额，C2份额：</w:t>
            </w:r>
          </w:p>
          <w:p w14:paraId="1D5E5A84">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0917524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0A5D6425">
            <w:pPr>
              <w:spacing w:line="240" w:lineRule="auto"/>
              <w:rPr>
                <w:sz w:val="28"/>
                <w:szCs w:val="28"/>
              </w:rPr>
            </w:pPr>
            <w:r>
              <w:rPr>
                <w:rFonts w:ascii="方正黑体_GBK" w:hAnsi="方正黑体_GBK" w:eastAsia="方正黑体_GBK" w:cs="宋体"/>
                <w:b/>
                <w:sz w:val="22"/>
                <w:szCs w:val="22"/>
              </w:rPr>
              <w:t>C份额，L份额：</w:t>
            </w:r>
          </w:p>
          <w:p w14:paraId="2154DA30">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708AFCB7">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57309990">
            <w:pPr>
              <w:spacing w:line="240" w:lineRule="auto"/>
              <w:rPr>
                <w:sz w:val="28"/>
                <w:szCs w:val="28"/>
              </w:rPr>
            </w:pPr>
            <w:r>
              <w:rPr>
                <w:rFonts w:ascii="方正黑体_GBK" w:hAnsi="方正黑体_GBK" w:eastAsia="方正黑体_GBK" w:cs="宋体"/>
                <w:b/>
                <w:sz w:val="22"/>
                <w:szCs w:val="22"/>
              </w:rPr>
              <w:t>F份额，A2份额，B2份额：</w:t>
            </w:r>
          </w:p>
          <w:p w14:paraId="7B40185D">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2D92779F">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1F5FE3AD">
            <w:pPr>
              <w:spacing w:line="240" w:lineRule="auto"/>
              <w:rPr>
                <w:sz w:val="28"/>
                <w:szCs w:val="28"/>
              </w:rPr>
            </w:pPr>
            <w:r>
              <w:rPr>
                <w:rFonts w:ascii="方正黑体_GBK" w:hAnsi="方正黑体_GBK" w:eastAsia="方正黑体_GBK" w:cs="宋体"/>
                <w:b/>
                <w:sz w:val="22"/>
                <w:szCs w:val="22"/>
              </w:rPr>
              <w:t>O份额：</w:t>
            </w:r>
          </w:p>
          <w:p w14:paraId="1AAF7BA1">
            <w:pPr>
              <w:spacing w:line="240" w:lineRule="auto"/>
              <w:rPr>
                <w:sz w:val="28"/>
                <w:szCs w:val="28"/>
              </w:rPr>
            </w:pPr>
            <w:r>
              <w:rPr>
                <w:rFonts w:ascii="方正黑体_GBK" w:hAnsi="方正黑体_GBK" w:eastAsia="方正黑体_GBK" w:cs="宋体"/>
                <w:b/>
                <w:sz w:val="22"/>
                <w:szCs w:val="22"/>
              </w:rPr>
              <w:t>本理财产品一次性收取年化0.25%的销售费，按日摊销。</w:t>
            </w:r>
          </w:p>
          <w:p w14:paraId="737CC15B">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153F7961">
            <w:pPr>
              <w:spacing w:line="240" w:lineRule="auto"/>
              <w:rPr>
                <w:sz w:val="28"/>
                <w:szCs w:val="28"/>
              </w:rPr>
            </w:pPr>
            <w:r>
              <w:rPr>
                <w:rFonts w:ascii="方正黑体_GBK" w:hAnsi="方正黑体_GBK" w:eastAsia="方正黑体_GBK" w:cs="宋体"/>
                <w:b/>
                <w:sz w:val="22"/>
                <w:szCs w:val="22"/>
              </w:rPr>
              <w:t>Q份额：</w:t>
            </w:r>
          </w:p>
          <w:p w14:paraId="1405FDA8">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33BE05D7">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EFBEB44">
            <w:pPr>
              <w:spacing w:line="240" w:lineRule="auto"/>
              <w:rPr>
                <w:sz w:val="28"/>
                <w:szCs w:val="28"/>
              </w:rPr>
            </w:pPr>
            <w:r>
              <w:rPr>
                <w:rFonts w:ascii="方正黑体_GBK" w:hAnsi="方正黑体_GBK" w:eastAsia="方正黑体_GBK" w:cs="宋体"/>
                <w:b/>
                <w:sz w:val="22"/>
                <w:szCs w:val="22"/>
              </w:rPr>
              <w:t>Q1份额：</w:t>
            </w:r>
          </w:p>
          <w:p w14:paraId="07FCE1DE">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4B1B2F18">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285BB5EB">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492FC12C">
            <w:pPr>
              <w:spacing w:line="240" w:lineRule="auto"/>
              <w:rPr>
                <w:sz w:val="28"/>
                <w:szCs w:val="28"/>
              </w:rPr>
            </w:pPr>
            <w:r>
              <w:rPr>
                <w:rFonts w:ascii="方正黑体_GBK" w:hAnsi="方正黑体_GBK" w:eastAsia="方正黑体_GBK" w:cs="宋体"/>
                <w:b/>
                <w:sz w:val="22"/>
                <w:szCs w:val="22"/>
              </w:rPr>
              <w:t>A份额：固定管理费年化0.2%</w:t>
            </w:r>
          </w:p>
          <w:p w14:paraId="760F3DB9">
            <w:pPr>
              <w:spacing w:line="240" w:lineRule="auto"/>
              <w:rPr>
                <w:sz w:val="28"/>
                <w:szCs w:val="28"/>
              </w:rPr>
            </w:pPr>
            <w:r>
              <w:rPr>
                <w:rFonts w:ascii="方正黑体_GBK" w:hAnsi="方正黑体_GBK" w:eastAsia="方正黑体_GBK" w:cs="宋体"/>
                <w:b/>
                <w:sz w:val="22"/>
                <w:szCs w:val="22"/>
              </w:rPr>
              <w:t>B份额：固定管理费年化0.15%</w:t>
            </w:r>
          </w:p>
          <w:p w14:paraId="008D3F2E">
            <w:pPr>
              <w:spacing w:line="240" w:lineRule="auto"/>
              <w:rPr>
                <w:sz w:val="28"/>
                <w:szCs w:val="28"/>
              </w:rPr>
            </w:pPr>
            <w:r>
              <w:rPr>
                <w:rFonts w:ascii="方正黑体_GBK" w:hAnsi="方正黑体_GBK" w:eastAsia="方正黑体_GBK" w:cs="宋体"/>
                <w:b/>
                <w:sz w:val="22"/>
                <w:szCs w:val="22"/>
              </w:rPr>
              <w:t>C份额：固定管理费年化0.15%</w:t>
            </w:r>
          </w:p>
          <w:p w14:paraId="651F5293">
            <w:pPr>
              <w:spacing w:line="240" w:lineRule="auto"/>
              <w:rPr>
                <w:sz w:val="28"/>
                <w:szCs w:val="28"/>
              </w:rPr>
            </w:pPr>
            <w:r>
              <w:rPr>
                <w:rFonts w:ascii="方正黑体_GBK" w:hAnsi="方正黑体_GBK" w:eastAsia="方正黑体_GBK" w:cs="宋体"/>
                <w:b/>
                <w:sz w:val="22"/>
                <w:szCs w:val="22"/>
              </w:rPr>
              <w:t>F份额：固定管理费年化0.15%</w:t>
            </w:r>
          </w:p>
          <w:p w14:paraId="1F1258A9">
            <w:pPr>
              <w:spacing w:line="240" w:lineRule="auto"/>
              <w:rPr>
                <w:sz w:val="28"/>
                <w:szCs w:val="28"/>
              </w:rPr>
            </w:pPr>
            <w:r>
              <w:rPr>
                <w:rFonts w:ascii="方正黑体_GBK" w:hAnsi="方正黑体_GBK" w:eastAsia="方正黑体_GBK" w:cs="宋体"/>
                <w:b/>
                <w:sz w:val="22"/>
                <w:szCs w:val="22"/>
              </w:rPr>
              <w:t>L份额：固定管理费年化0.1%</w:t>
            </w:r>
          </w:p>
          <w:p w14:paraId="5A55981C">
            <w:pPr>
              <w:spacing w:line="240" w:lineRule="auto"/>
              <w:rPr>
                <w:sz w:val="28"/>
                <w:szCs w:val="28"/>
              </w:rPr>
            </w:pPr>
            <w:r>
              <w:rPr>
                <w:rFonts w:ascii="方正黑体_GBK" w:hAnsi="方正黑体_GBK" w:eastAsia="方正黑体_GBK" w:cs="宋体"/>
                <w:b/>
                <w:sz w:val="22"/>
                <w:szCs w:val="22"/>
              </w:rPr>
              <w:t>O份额：固定管理费年化0.1%</w:t>
            </w:r>
          </w:p>
          <w:p w14:paraId="54AAECD7">
            <w:pPr>
              <w:spacing w:line="240" w:lineRule="auto"/>
              <w:rPr>
                <w:sz w:val="28"/>
                <w:szCs w:val="28"/>
              </w:rPr>
            </w:pPr>
            <w:r>
              <w:rPr>
                <w:rFonts w:ascii="方正黑体_GBK" w:hAnsi="方正黑体_GBK" w:eastAsia="方正黑体_GBK" w:cs="宋体"/>
                <w:b/>
                <w:sz w:val="22"/>
                <w:szCs w:val="22"/>
              </w:rPr>
              <w:t>A2份额：固定管理费年化0.2%</w:t>
            </w:r>
          </w:p>
          <w:p w14:paraId="527D8033">
            <w:pPr>
              <w:spacing w:line="240" w:lineRule="auto"/>
              <w:rPr>
                <w:sz w:val="28"/>
                <w:szCs w:val="28"/>
              </w:rPr>
            </w:pPr>
            <w:r>
              <w:rPr>
                <w:rFonts w:ascii="方正黑体_GBK" w:hAnsi="方正黑体_GBK" w:eastAsia="方正黑体_GBK" w:cs="宋体"/>
                <w:b/>
                <w:sz w:val="22"/>
                <w:szCs w:val="22"/>
              </w:rPr>
              <w:t>B2份额：固定管理费年化0.1%</w:t>
            </w:r>
          </w:p>
          <w:p w14:paraId="44D52D39">
            <w:pPr>
              <w:spacing w:line="240" w:lineRule="auto"/>
              <w:rPr>
                <w:sz w:val="28"/>
                <w:szCs w:val="28"/>
              </w:rPr>
            </w:pPr>
            <w:r>
              <w:rPr>
                <w:rFonts w:ascii="方正黑体_GBK" w:hAnsi="方正黑体_GBK" w:eastAsia="方正黑体_GBK" w:cs="宋体"/>
                <w:b/>
                <w:sz w:val="22"/>
                <w:szCs w:val="22"/>
              </w:rPr>
              <w:t>C2份额：固定管理费年化0.1%</w:t>
            </w:r>
          </w:p>
          <w:p w14:paraId="7C131C1F">
            <w:pPr>
              <w:spacing w:line="240" w:lineRule="auto"/>
              <w:rPr>
                <w:sz w:val="28"/>
                <w:szCs w:val="28"/>
              </w:rPr>
            </w:pPr>
            <w:r>
              <w:rPr>
                <w:rFonts w:ascii="方正黑体_GBK" w:hAnsi="方正黑体_GBK" w:eastAsia="方正黑体_GBK" w:cs="宋体"/>
                <w:b/>
                <w:sz w:val="22"/>
                <w:szCs w:val="22"/>
              </w:rPr>
              <w:t>Q份额：固定管理费年化0.15%</w:t>
            </w:r>
          </w:p>
          <w:p w14:paraId="0AA76FEC">
            <w:pPr>
              <w:spacing w:line="240" w:lineRule="auto"/>
              <w:rPr>
                <w:sz w:val="28"/>
                <w:szCs w:val="28"/>
              </w:rPr>
            </w:pPr>
            <w:r>
              <w:rPr>
                <w:rFonts w:ascii="方正黑体_GBK" w:hAnsi="方正黑体_GBK" w:eastAsia="方正黑体_GBK" w:cs="宋体"/>
                <w:b/>
                <w:sz w:val="22"/>
                <w:szCs w:val="22"/>
              </w:rPr>
              <w:t>Q1份额：固定管理费年化0.1%</w:t>
            </w:r>
          </w:p>
          <w:p w14:paraId="75AA722B">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00905C2F">
            <w:pPr>
              <w:spacing w:line="240" w:lineRule="auto"/>
              <w:rPr>
                <w:sz w:val="28"/>
                <w:szCs w:val="28"/>
              </w:rPr>
            </w:pPr>
            <w:r>
              <w:rPr>
                <w:rFonts w:ascii="方正黑体_GBK" w:hAnsi="方正黑体_GBK" w:eastAsia="方正黑体_GBK" w:cs="宋体"/>
                <w:b/>
                <w:sz w:val="22"/>
                <w:szCs w:val="22"/>
              </w:rPr>
              <w:t>托管费：</w:t>
            </w:r>
          </w:p>
          <w:p w14:paraId="10BD6C55">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2DAC4772">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70622CC6">
            <w:pPr>
              <w:spacing w:line="240" w:lineRule="auto"/>
              <w:rPr>
                <w:sz w:val="28"/>
                <w:szCs w:val="28"/>
              </w:rPr>
            </w:pPr>
            <w:r>
              <w:rPr>
                <w:rFonts w:ascii="方正黑体_GBK" w:hAnsi="方正黑体_GBK" w:eastAsia="方正黑体_GBK" w:cs="宋体"/>
                <w:b/>
                <w:sz w:val="22"/>
                <w:szCs w:val="22"/>
              </w:rPr>
              <w:t>业绩报酬：</w:t>
            </w:r>
          </w:p>
          <w:p w14:paraId="384CA1C4">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6FAF46E9">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1EB80BD4">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61861C87">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1EA0A5E1">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451BD8C4">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0E189861">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在2.35%（含）（年化，即产品该份额对应的业绩报酬计提基准）至2.6%（不含）之间的部分，管理人将按超过2.35%部分的50%收取业绩报酬；在2.6%（含）（年化，即产品该份额对应的业绩报酬计提基准）以上的部分，管理人将按超过2.6%部分的60%收取业绩报酬。</w:t>
            </w:r>
          </w:p>
          <w:p w14:paraId="1EB6E989">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6010AEA4">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64788EC8">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380685EB">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2E212B0B">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28AB1C7">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653F149C">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5AD1027">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3AA87F78">
            <w:pPr>
              <w:spacing w:line="240" w:lineRule="auto"/>
              <w:rPr>
                <w:sz w:val="28"/>
                <w:szCs w:val="28"/>
              </w:rPr>
            </w:pPr>
            <w:r>
              <w:rPr>
                <w:rFonts w:ascii="方正黑体_GBK" w:hAnsi="方正黑体_GBK" w:eastAsia="方正黑体_GBK" w:cs="宋体"/>
                <w:b/>
                <w:sz w:val="22"/>
                <w:szCs w:val="22"/>
              </w:rPr>
              <w:t>计算本区间业绩报酬的公式如下：</w:t>
            </w:r>
          </w:p>
          <w:p w14:paraId="21505CF1">
            <w:pPr>
              <w:spacing w:line="240" w:lineRule="auto"/>
              <w:rPr>
                <w:sz w:val="28"/>
                <w:szCs w:val="28"/>
              </w:rPr>
            </w:pPr>
            <w:r>
              <w:rPr>
                <w:rFonts w:ascii="方正黑体_GBK" w:hAnsi="方正黑体_GBK" w:eastAsia="方正黑体_GBK" w:cs="宋体"/>
                <w:b/>
                <w:sz w:val="22"/>
                <w:szCs w:val="22"/>
              </w:rPr>
              <w:t>A={B-C*D*(1+E*F/365)}*G。</w:t>
            </w:r>
          </w:p>
          <w:p w14:paraId="11706A06">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53BF96C1">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237C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540D5E97">
            <w:pPr>
              <w:spacing w:line="240" w:lineRule="auto"/>
              <w:rPr>
                <w:sz w:val="28"/>
                <w:szCs w:val="28"/>
              </w:rPr>
            </w:pPr>
            <w:r>
              <w:rPr>
                <w:rFonts w:ascii="方正黑体_GBK" w:hAnsi="方正黑体_GBK" w:eastAsia="方正黑体_GBK" w:cs="宋体"/>
                <w:sz w:val="22"/>
                <w:szCs w:val="22"/>
              </w:rPr>
              <w:t>具体详见本理财产品风险揭示书。</w:t>
            </w:r>
          </w:p>
        </w:tc>
      </w:tr>
      <w:tr w14:paraId="0C2E6A66">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DF8FE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136A13CB">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5DCBB392">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2FF52D89">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480D67CA">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35ED3FB7">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1279C3B4">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479EEE0C">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3B12E541">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9D9F7F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B0C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BA0C1D7">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宁波东海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新沂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w:t>
            </w:r>
          </w:p>
          <w:p w14:paraId="019D9C35">
            <w:pPr>
              <w:spacing w:line="240" w:lineRule="auto"/>
              <w:jc w:val="left"/>
              <w:rPr>
                <w:sz w:val="28"/>
                <w:szCs w:val="28"/>
              </w:rPr>
            </w:pPr>
            <w:r>
              <w:rPr>
                <w:rFonts w:ascii="方正黑体_GBK" w:hAnsi="方正黑体_GBK" w:eastAsia="方正黑体_GBK" w:cs="宋体"/>
                <w:sz w:val="22"/>
                <w:szCs w:val="22"/>
              </w:rPr>
              <w:t>销售机构主要职责如下：</w:t>
            </w:r>
          </w:p>
          <w:p w14:paraId="0E5577B6">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3AD65426">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72CF9460">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75FD8B83">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52EC8245">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695B5E5A">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7477EFF3">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383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086EB06">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0884D10B">
            <w:pPr>
              <w:spacing w:line="240" w:lineRule="auto"/>
              <w:rPr>
                <w:sz w:val="28"/>
                <w:szCs w:val="28"/>
              </w:rPr>
            </w:pPr>
            <w:r>
              <w:rPr>
                <w:rFonts w:ascii="方正黑体_GBK" w:hAnsi="方正黑体_GBK" w:eastAsia="方正黑体_GBK" w:cs="宋体"/>
                <w:sz w:val="22"/>
                <w:szCs w:val="22"/>
              </w:rPr>
              <w:t>1.安全保管理财产品财产；</w:t>
            </w:r>
          </w:p>
          <w:p w14:paraId="3676FBEE">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6271C31E">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5770DA9B">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19B000DA">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074765A5">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553647A5">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72462F26">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22DD2234">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59B13582">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4DDD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4DC40FDB">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7345FC96">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w:t>
            </w:r>
          </w:p>
          <w:p w14:paraId="1B9AFC22">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19160FFD">
            <w:pPr>
              <w:spacing w:line="240" w:lineRule="auto"/>
              <w:rPr>
                <w:sz w:val="28"/>
                <w:szCs w:val="28"/>
              </w:rPr>
            </w:pPr>
            <w:r>
              <w:rPr>
                <w:rFonts w:ascii="方正黑体_GBK" w:hAnsi="方正黑体_GBK" w:eastAsia="方正黑体_GBK" w:cs="宋体"/>
                <w:sz w:val="22"/>
                <w:szCs w:val="22"/>
              </w:rPr>
              <w:t>上述投资合作机构简介：</w:t>
            </w:r>
          </w:p>
          <w:p w14:paraId="7EF2746F">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54A503AB">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63BEF35D">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6109E697">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138C33E5">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02E331A7">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66C8B1C4">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7EF4B1F8">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4792F7F1">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6359178A">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5975D370">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2D36855A">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611E7D55">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2786EFF2">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183A16CF">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7E9E29D">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1712E289">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347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1B227211">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27A6F2D3">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3DA98210">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60ECC328">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DE8098C">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3116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4A48D07D">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3003DE29">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5086F03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0CC4D93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0327A6BA">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7A1F190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6E0054BB">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6AC1957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56DB625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7413113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48FB077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19F61E0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18ACE952">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455AF0B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3E88341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62707B1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1528B30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2462B90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32D87B71">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19A8619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6EBE618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2DC5A9F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18C4BA8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11AFB57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30071C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1BE744A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4B68491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380F2C0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1F028F9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32778CA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0E1CE09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2F66BDC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787078FF">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31C98015">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南银理财珠联璧合鑫逸稳一年276期封闭式公募人民币理财产品</w:t>
      </w:r>
      <w:r>
        <w:rPr>
          <w:rFonts w:hint="eastAsia" w:ascii="方正黑体_GBK" w:hAnsi="方正黑体_GBK" w:eastAsia="方正黑体_GBK"/>
          <w:vanish w:val="0"/>
          <w:color w:val="3D3D3D"/>
          <w:kern w:val="0"/>
          <w:sz w:val="20"/>
          <w:szCs w:val="20"/>
        </w:rPr>
        <w:t>。</w:t>
      </w:r>
    </w:p>
    <w:p w14:paraId="262950E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1E56F7C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244E720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468217B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5422B728">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B9B8FE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5844306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012C46B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2AAD2F9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5D3A7F1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591EAE5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767FEA7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66D9E06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283A07A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EC95C9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262288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6BD89FF5">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6172CBE">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4FBA4C04">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676CD971">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17247FBD">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7D4F5162">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24819D3C">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6F539A4F">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0F2176A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04E31E11">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5EE2B5E3">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0E59C21D">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45693C5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7D0B76FB">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2F1F7A94">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8AB73CB">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03F25D9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52512DD1">
      <w:pPr>
        <w:pStyle w:val="29"/>
        <w:keepNext w:val="0"/>
        <w:keepLines w:val="0"/>
        <w:pageBreakBefore w:val="0"/>
        <w:widowControl/>
        <w:suppressLineNumbers w:val="0"/>
        <w:suppressAutoHyphens w:val="0"/>
        <w:spacing w:line="240" w:lineRule="auto"/>
        <w:ind w:firstLine="400"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350ACB5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4B022202">
      <w:pPr>
        <w:spacing w:line="240" w:lineRule="auto"/>
        <w:ind w:firstLine="300"/>
        <w:jc w:val="both"/>
        <w:rPr>
          <w:sz w:val="28"/>
          <w:szCs w:val="28"/>
        </w:rPr>
      </w:pPr>
      <w:r>
        <w:rPr>
          <w:rFonts w:ascii="方正黑体_GBK" w:hAnsi="方正黑体_GBK" w:eastAsia="方正黑体_GBK" w:cs="宋体"/>
          <w:sz w:val="20"/>
          <w:szCs w:val="24"/>
        </w:rPr>
        <w:t>（一）估值日</w:t>
      </w:r>
    </w:p>
    <w:p w14:paraId="4002FB60">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11F1E046">
      <w:pPr>
        <w:spacing w:line="240" w:lineRule="auto"/>
        <w:ind w:firstLine="300"/>
        <w:jc w:val="both"/>
        <w:rPr>
          <w:sz w:val="28"/>
          <w:szCs w:val="28"/>
        </w:rPr>
      </w:pPr>
      <w:r>
        <w:rPr>
          <w:rFonts w:ascii="方正黑体_GBK" w:hAnsi="方正黑体_GBK" w:eastAsia="方正黑体_GBK" w:cs="宋体"/>
          <w:sz w:val="20"/>
          <w:szCs w:val="24"/>
        </w:rPr>
        <w:t>（二）估值对象</w:t>
      </w:r>
    </w:p>
    <w:p w14:paraId="31258966">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5764B820">
      <w:pPr>
        <w:spacing w:line="240" w:lineRule="auto"/>
        <w:ind w:firstLine="300"/>
        <w:jc w:val="both"/>
        <w:rPr>
          <w:sz w:val="28"/>
          <w:szCs w:val="28"/>
        </w:rPr>
      </w:pPr>
      <w:r>
        <w:rPr>
          <w:rFonts w:ascii="方正黑体_GBK" w:hAnsi="方正黑体_GBK" w:eastAsia="方正黑体_GBK" w:cs="宋体"/>
          <w:sz w:val="20"/>
          <w:szCs w:val="24"/>
        </w:rPr>
        <w:t>（三）估值目的</w:t>
      </w:r>
    </w:p>
    <w:p w14:paraId="276CBD18">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7C9D71CA">
      <w:pPr>
        <w:spacing w:line="240" w:lineRule="auto"/>
        <w:ind w:firstLine="300"/>
        <w:jc w:val="both"/>
        <w:rPr>
          <w:sz w:val="28"/>
          <w:szCs w:val="28"/>
        </w:rPr>
      </w:pPr>
      <w:r>
        <w:rPr>
          <w:rFonts w:ascii="方正黑体_GBK" w:hAnsi="方正黑体_GBK" w:eastAsia="方正黑体_GBK" w:cs="宋体"/>
          <w:sz w:val="20"/>
          <w:szCs w:val="24"/>
        </w:rPr>
        <w:t>（四）估值原则</w:t>
      </w:r>
    </w:p>
    <w:p w14:paraId="662319A9">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356C0144">
      <w:pPr>
        <w:spacing w:line="240" w:lineRule="auto"/>
        <w:ind w:firstLine="300"/>
        <w:jc w:val="both"/>
        <w:rPr>
          <w:sz w:val="28"/>
          <w:szCs w:val="28"/>
        </w:rPr>
      </w:pPr>
      <w:r>
        <w:rPr>
          <w:rFonts w:ascii="方正黑体_GBK" w:hAnsi="方正黑体_GBK" w:eastAsia="方正黑体_GBK" w:cs="宋体"/>
          <w:sz w:val="20"/>
          <w:szCs w:val="24"/>
        </w:rPr>
        <w:t>（五）估值方法</w:t>
      </w:r>
    </w:p>
    <w:p w14:paraId="623EB212">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2CBD623A">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69967FD0">
      <w:pPr>
        <w:spacing w:line="240" w:lineRule="auto"/>
        <w:ind w:firstLine="440"/>
        <w:rPr>
          <w:sz w:val="28"/>
          <w:szCs w:val="28"/>
        </w:rPr>
      </w:pPr>
      <w:r>
        <w:rPr>
          <w:rFonts w:ascii="方正黑体_GBK" w:hAnsi="方正黑体_GBK" w:eastAsia="方正黑体_GBK" w:cs="宋体"/>
          <w:sz w:val="22"/>
          <w:szCs w:val="24"/>
        </w:rPr>
        <w:t>以本金列示，逐日计提利息。</w:t>
      </w:r>
    </w:p>
    <w:p w14:paraId="2CB87F02">
      <w:pPr>
        <w:spacing w:line="240" w:lineRule="auto"/>
        <w:ind w:firstLine="440"/>
        <w:rPr>
          <w:sz w:val="28"/>
          <w:szCs w:val="28"/>
        </w:rPr>
      </w:pPr>
      <w:r>
        <w:rPr>
          <w:rFonts w:ascii="方正黑体_GBK" w:hAnsi="方正黑体_GBK" w:eastAsia="方正黑体_GBK" w:cs="宋体"/>
          <w:sz w:val="22"/>
          <w:szCs w:val="24"/>
        </w:rPr>
        <w:t>2.债券类资产</w:t>
      </w:r>
    </w:p>
    <w:p w14:paraId="4C2AC885">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393A53FF">
      <w:pPr>
        <w:spacing w:line="240" w:lineRule="auto"/>
        <w:ind w:firstLine="440"/>
        <w:rPr>
          <w:sz w:val="28"/>
          <w:szCs w:val="28"/>
        </w:rPr>
      </w:pPr>
      <w:r>
        <w:rPr>
          <w:rFonts w:ascii="方正黑体_GBK" w:hAnsi="方正黑体_GBK" w:eastAsia="方正黑体_GBK" w:cs="宋体"/>
          <w:sz w:val="22"/>
          <w:szCs w:val="24"/>
        </w:rPr>
        <w:t>3.非标准化债权类资产</w:t>
      </w:r>
    </w:p>
    <w:p w14:paraId="648E7BDF">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50D266A5">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7053BB3">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29C1D2F4">
      <w:pPr>
        <w:spacing w:line="240" w:lineRule="auto"/>
        <w:ind w:firstLine="440"/>
        <w:rPr>
          <w:sz w:val="28"/>
          <w:szCs w:val="28"/>
        </w:rPr>
      </w:pPr>
      <w:r>
        <w:rPr>
          <w:rFonts w:ascii="方正黑体_GBK" w:hAnsi="方正黑体_GBK" w:eastAsia="方正黑体_GBK" w:cs="宋体"/>
          <w:sz w:val="22"/>
          <w:szCs w:val="24"/>
        </w:rPr>
        <w:t>5.股权类及其他资产</w:t>
      </w:r>
    </w:p>
    <w:p w14:paraId="022D5CD8">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07A8E3BD">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588F4669">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64C1985F">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49F71A6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0083EBA8">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315B5CAF">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5A105C58">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4F33FAB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0E8BFA5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6D78C09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1C59869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505B8CC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7546DC4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55D74BD6">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5C5ABF1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08341089">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1745F64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2FACE6B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5915187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7C33D6E8">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3151C0A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71E58A8F">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3E6183C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54E6AF1D">
      <w:pPr>
        <w:pStyle w:val="29"/>
        <w:keepNext w:val="0"/>
        <w:keepLines w:val="0"/>
        <w:pageBreakBefore w:val="0"/>
        <w:widowControl/>
        <w:numPr>
          <w:ilvl w:val="0"/>
          <w:numId w:val="4"/>
        </w:numPr>
        <w:suppressLineNumbers w:val="0"/>
        <w:suppressAutoHyphens w:val="0"/>
        <w:spacing w:line="240" w:lineRule="auto"/>
        <w:ind w:left="0" w:firstLine="400"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4B8EBDAF">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65565D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157ED64E">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7F906BF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4DB84799">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131DE2D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57AEF7F7">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64026D7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54CC545A">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78B15B0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E7F188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13E749B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739C4E9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74B9842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2211652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46B11531">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00"/>
    <w:family w:val="auto"/>
    <w:pitch w:val="default"/>
    <w:sig w:usb0="00000000" w:usb1="00000000" w:usb2="00000000" w:usb3="00000000" w:csb0="00000000" w:csb1="00000000"/>
  </w:font>
  <w:font w:name="Dialog">
    <w:altName w:val="Times New Roman"/>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E35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A0EF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6A0EF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FE1C">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A4B9D"/>
    <w:multiLevelType w:val="multilevel"/>
    <w:tmpl w:val="EDFA4B9D"/>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1">
    <w:nsid w:val="FD85ED3A"/>
    <w:multiLevelType w:val="multilevel"/>
    <w:tmpl w:val="FD85ED3A"/>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3F1AA389"/>
    <w:multiLevelType w:val="multilevel"/>
    <w:tmpl w:val="3F1AA389"/>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3">
    <w:nsid w:val="7D5A8638"/>
    <w:multiLevelType w:val="multilevel"/>
    <w:tmpl w:val="7D5A8638"/>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37FFC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ff1fc31e"/>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98aee5ec"/>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4deef7a0"/>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99c91442"/>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ed0548b7"/>
    <w:uiPriority w:val="0"/>
  </w:style>
  <w:style w:type="paragraph" w:customStyle="1" w:styleId="20">
    <w:name w:val="toc 1e4e56ff1"/>
    <w:basedOn w:val="15"/>
    <w:next w:val="1"/>
    <w:autoRedefine/>
    <w:uiPriority w:val="0"/>
  </w:style>
  <w:style w:type="paragraph" w:customStyle="1" w:styleId="21">
    <w:name w:val="toc 25edf6500"/>
    <w:basedOn w:val="15"/>
    <w:next w:val="1"/>
    <w:autoRedefine/>
    <w:uiPriority w:val="0"/>
    <w:pPr>
      <w:ind w:left="420"/>
    </w:pPr>
  </w:style>
  <w:style w:type="paragraph" w:customStyle="1" w:styleId="22">
    <w:name w:val="toc 34d0e96c9"/>
    <w:basedOn w:val="15"/>
    <w:next w:val="1"/>
    <w:autoRedefine/>
    <w:uiPriority w:val="0"/>
    <w:pPr>
      <w:ind w:left="840"/>
    </w:pPr>
  </w:style>
  <w:style w:type="paragraph" w:customStyle="1" w:styleId="23">
    <w:name w:val="toc 4bad58a35"/>
    <w:basedOn w:val="15"/>
    <w:next w:val="1"/>
    <w:autoRedefine/>
    <w:uiPriority w:val="0"/>
    <w:pPr>
      <w:ind w:left="1260"/>
    </w:pPr>
  </w:style>
  <w:style w:type="paragraph" w:customStyle="1" w:styleId="24">
    <w:name w:val="toc 5b5c54061"/>
    <w:basedOn w:val="15"/>
    <w:next w:val="1"/>
    <w:autoRedefine/>
    <w:uiPriority w:val="0"/>
    <w:pPr>
      <w:ind w:left="1680"/>
    </w:pPr>
  </w:style>
  <w:style w:type="paragraph" w:customStyle="1" w:styleId="25">
    <w:name w:val="header0405045d"/>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f1691e75"/>
    <w:basedOn w:val="15"/>
    <w:uiPriority w:val="0"/>
    <w:pPr>
      <w:tabs>
        <w:tab w:val="center" w:pos="4153"/>
        <w:tab w:val="right" w:pos="8307"/>
      </w:tabs>
      <w:adjustRightInd/>
      <w:snapToGrid w:val="0"/>
      <w:contextualSpacing w:val="0"/>
      <w:jc w:val="left"/>
    </w:pPr>
    <w:rPr>
      <w:sz w:val="18"/>
    </w:rPr>
  </w:style>
  <w:style w:type="character" w:customStyle="1" w:styleId="27">
    <w:name w:val="Strong030d6d9e"/>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74104591"/>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f07a1ac1"/>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d44a0e22"/>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dfb310ba"/>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6a4518e4"/>
    <w:uiPriority w:val="0"/>
  </w:style>
  <w:style w:type="paragraph" w:customStyle="1" w:styleId="34">
    <w:name w:val="Normal Indent90959ff8"/>
    <w:basedOn w:val="29"/>
    <w:uiPriority w:val="0"/>
    <w:pPr>
      <w:ind w:firstLine="200" w:firstLineChars="200"/>
    </w:pPr>
  </w:style>
  <w:style w:type="paragraph" w:customStyle="1" w:styleId="35">
    <w:name w:val="toc 5af69d9d8"/>
    <w:basedOn w:val="29"/>
    <w:next w:val="1"/>
    <w:uiPriority w:val="0"/>
    <w:pPr>
      <w:ind w:left="1680"/>
    </w:pPr>
  </w:style>
  <w:style w:type="paragraph" w:customStyle="1" w:styleId="36">
    <w:name w:val="toc 36322c58d"/>
    <w:basedOn w:val="29"/>
    <w:next w:val="1"/>
    <w:uiPriority w:val="0"/>
    <w:pPr>
      <w:ind w:left="840"/>
    </w:pPr>
  </w:style>
  <w:style w:type="paragraph" w:customStyle="1" w:styleId="37">
    <w:name w:val="footer3a6a8ba3"/>
    <w:basedOn w:val="29"/>
    <w:uiPriority w:val="0"/>
    <w:pPr>
      <w:tabs>
        <w:tab w:val="center" w:pos="4153"/>
        <w:tab w:val="right" w:pos="8307"/>
      </w:tabs>
      <w:adjustRightInd/>
      <w:snapToGrid w:val="0"/>
      <w:contextualSpacing w:val="0"/>
      <w:jc w:val="left"/>
    </w:pPr>
    <w:rPr>
      <w:sz w:val="18"/>
    </w:rPr>
  </w:style>
  <w:style w:type="paragraph" w:customStyle="1" w:styleId="38">
    <w:name w:val="headerecfe7332"/>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f103d89f"/>
    <w:basedOn w:val="29"/>
    <w:next w:val="1"/>
    <w:uiPriority w:val="0"/>
  </w:style>
  <w:style w:type="paragraph" w:customStyle="1" w:styleId="40">
    <w:name w:val="toc 4764e0dce"/>
    <w:basedOn w:val="29"/>
    <w:next w:val="1"/>
    <w:uiPriority w:val="0"/>
    <w:pPr>
      <w:ind w:left="1260"/>
    </w:pPr>
  </w:style>
  <w:style w:type="paragraph" w:customStyle="1" w:styleId="41">
    <w:name w:val="toc 20e6b5d8f"/>
    <w:basedOn w:val="29"/>
    <w:next w:val="1"/>
    <w:uiPriority w:val="0"/>
    <w:pPr>
      <w:ind w:left="420"/>
    </w:pPr>
  </w:style>
  <w:style w:type="paragraph" w:customStyle="1" w:styleId="42">
    <w:name w:val="Normal (Web)2b819b89"/>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ace7b306ace7b306"/>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02e8869002e88690"/>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03af5b0103af5b01"/>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699d1fd8699d1fd8"/>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1944b8bd1944b8bd"/>
    <w:uiPriority w:val="0"/>
  </w:style>
  <w:style w:type="paragraph" w:customStyle="1" w:styleId="49">
    <w:name w:val="引文目录1cf9ab4e2cf9ab4e2"/>
    <w:basedOn w:val="44"/>
    <w:next w:val="1"/>
    <w:uiPriority w:val="0"/>
    <w:pPr>
      <w:ind w:left="200" w:leftChars="200"/>
    </w:pPr>
  </w:style>
  <w:style w:type="paragraph" w:customStyle="1" w:styleId="50">
    <w:name w:val="toc 5654f9ac2654f9ac2"/>
    <w:basedOn w:val="44"/>
    <w:next w:val="1"/>
    <w:uiPriority w:val="0"/>
    <w:pPr>
      <w:ind w:left="1680"/>
    </w:pPr>
  </w:style>
  <w:style w:type="paragraph" w:customStyle="1" w:styleId="51">
    <w:name w:val="toc 30cc44fd70cc44fd7"/>
    <w:basedOn w:val="44"/>
    <w:next w:val="1"/>
    <w:uiPriority w:val="0"/>
    <w:pPr>
      <w:ind w:left="840"/>
    </w:pPr>
  </w:style>
  <w:style w:type="paragraph" w:customStyle="1" w:styleId="52">
    <w:name w:val="footer27d2005927d20059"/>
    <w:basedOn w:val="44"/>
    <w:uiPriority w:val="0"/>
    <w:pPr>
      <w:tabs>
        <w:tab w:val="center" w:pos="4153"/>
        <w:tab w:val="right" w:pos="8307"/>
      </w:tabs>
      <w:adjustRightInd/>
      <w:snapToGrid w:val="0"/>
      <w:contextualSpacing w:val="0"/>
      <w:jc w:val="left"/>
    </w:pPr>
    <w:rPr>
      <w:sz w:val="18"/>
    </w:rPr>
  </w:style>
  <w:style w:type="paragraph" w:customStyle="1" w:styleId="53">
    <w:name w:val="headerc10241d6c10241d6"/>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460e7246460e7246"/>
    <w:basedOn w:val="44"/>
    <w:next w:val="1"/>
    <w:uiPriority w:val="0"/>
  </w:style>
  <w:style w:type="paragraph" w:customStyle="1" w:styleId="55">
    <w:name w:val="toc 4f54da27ff54da27f"/>
    <w:basedOn w:val="44"/>
    <w:next w:val="1"/>
    <w:uiPriority w:val="0"/>
    <w:pPr>
      <w:ind w:left="1260"/>
    </w:pPr>
  </w:style>
  <w:style w:type="paragraph" w:customStyle="1" w:styleId="56">
    <w:name w:val="toc 248cc1f7048cc1f70"/>
    <w:basedOn w:val="44"/>
    <w:next w:val="1"/>
    <w:uiPriority w:val="0"/>
    <w:pPr>
      <w:ind w:left="420"/>
    </w:pPr>
  </w:style>
  <w:style w:type="paragraph" w:customStyle="1" w:styleId="57">
    <w:name w:val="列出段落1b46abe45b46abe4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26</Pages>
  <Words>4074</Words>
  <Characters>4086</Characters>
  <Lines>77</Lines>
  <Paragraphs>27</Paragraphs>
  <TotalTime>9</TotalTime>
  <ScaleCrop>false</ScaleCrop>
  <LinksUpToDate>false</LinksUpToDate>
  <CharactersWithSpaces>4087</CharactersWithSpaces>
  <Application>WPS Office_12.1.25869.25869_F1E327BC-269C-435d-A152-05C5408002CA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2026-05-31T12:29:35Z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02AEF6DED8204361AEB85E71A6BDE641</vt:lpwstr>
  </property>
</Properties>
</file>