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922F4">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0014FD92">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1DB9E1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64C6933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13984F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612C0E3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701421D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3F5FE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65D589B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1DBE739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606750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71FD5DD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408EDF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A037A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797B34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24381B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5C4FBAD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6FBF89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7DC487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5C1F02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1CE61E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68B47C5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4F0C27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w:t>
      </w:r>
      <w:bookmarkStart w:id="0" w:name="_GoBack"/>
      <w:bookmarkEnd w:id="0"/>
      <w:r>
        <w:rPr>
          <w:rFonts w:hint="eastAsia" w:ascii="方正黑体_GBK" w:hAnsi="方正黑体_GBK" w:eastAsia="方正黑体_GBK"/>
          <w:vanish w:val="0"/>
          <w:color w:val="3D3D3D"/>
          <w:kern w:val="0"/>
          <w:sz w:val="18"/>
          <w:szCs w:val="18"/>
        </w:rPr>
        <w:t>力等方面的限制，可能对产品的运作及管理造成一定影响，并因此影响投资者收益，甚至造成本理财产品净值下跌、本金损失。</w:t>
      </w:r>
    </w:p>
    <w:p w14:paraId="313F0DE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69CCA7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566429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0FC07CE9">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89551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5AECF2DF">
      <w:pPr>
        <w:spacing w:line="240" w:lineRule="auto"/>
        <w:rPr>
          <w:sz w:val="28"/>
          <w:szCs w:val="28"/>
        </w:rPr>
      </w:pPr>
      <w:r>
        <w:rPr>
          <w:rFonts w:ascii="方正黑体_GBK" w:hAnsi="方正黑体_GBK" w:eastAsia="方正黑体_GBK" w:cs="宋体"/>
          <w:b/>
          <w:sz w:val="18"/>
          <w:szCs w:val="24"/>
        </w:rPr>
        <w:t xml:space="preserve">    1.债券类资产投资风险</w:t>
      </w:r>
    </w:p>
    <w:p w14:paraId="2D99EA97">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14CF8520">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4CD47AB7">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1572F825">
      <w:pPr>
        <w:spacing w:line="240" w:lineRule="auto"/>
        <w:rPr>
          <w:sz w:val="28"/>
          <w:szCs w:val="28"/>
        </w:rPr>
      </w:pPr>
      <w:r>
        <w:rPr>
          <w:rFonts w:ascii="方正黑体_GBK" w:hAnsi="方正黑体_GBK" w:eastAsia="方正黑体_GBK" w:cs="宋体"/>
          <w:b/>
          <w:sz w:val="18"/>
          <w:szCs w:val="24"/>
        </w:rPr>
        <w:t xml:space="preserve">    3.资产管理产品投资风险</w:t>
      </w:r>
    </w:p>
    <w:p w14:paraId="26714826">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37E6A47D">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05F448FA">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19925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1BCFFF5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7F623C33">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2B9C4AD6">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1B6B36B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1A3CBCE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53E74F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713DE5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791C5E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370EBA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3616FC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1B1C9AEB">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30DC66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377008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7378D67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65B5A9EF">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145715C9">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643185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13E638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35977C9D">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52DB8A91">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30E3D1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7E289CF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60BB22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4EC730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09C398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49D026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23E33D76">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A2869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8A99C7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08D543E4">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26BAE3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3601CE19">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09513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03C730C7">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565D63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75145E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48AC7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B04463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1DF100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4A9F675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9945CC6">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EB79C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2E211EE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ED7DFF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628D3637">
      <w:pPr>
        <w:spacing w:line="240" w:lineRule="auto"/>
        <w:rPr>
          <w:sz w:val="28"/>
          <w:szCs w:val="28"/>
        </w:rPr>
      </w:pPr>
      <w:r>
        <w:rPr>
          <w:rFonts w:ascii="方正黑体_GBK" w:hAnsi="方正黑体_GBK" w:eastAsia="方正黑体_GBK"/>
          <w:sz w:val="28"/>
          <w:szCs w:val="28"/>
        </w:rPr>
        <w:br w:type="page"/>
      </w:r>
    </w:p>
    <w:p w14:paraId="4AB42321">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67D54E1D">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D006E28">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377DABA5">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7AE05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3326E1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南银理财珠联璧合鑫逸稳半年176期封闭式公募人民币理财产品</w:t>
            </w:r>
          </w:p>
        </w:tc>
      </w:tr>
      <w:tr w14:paraId="0C8567A0">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72B9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40985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46BC522A">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ADE8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543AEF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2F81EA4A">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4FF88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7E6C8B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ZZ700322600139</w:t>
            </w:r>
          </w:p>
        </w:tc>
      </w:tr>
      <w:tr w14:paraId="2FDF641A">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9B1F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6FD3F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Z7003226000144(投资者可依据该编码在中国理财网www.chinawealth.com.cn查询理财产品相关信息）</w:t>
            </w:r>
          </w:p>
        </w:tc>
      </w:tr>
      <w:tr w14:paraId="1C12571B">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78C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12E5B278">
            <w:pPr>
              <w:spacing w:line="240" w:lineRule="auto"/>
              <w:rPr>
                <w:sz w:val="28"/>
                <w:szCs w:val="28"/>
              </w:rPr>
            </w:pPr>
            <w:r>
              <w:rPr>
                <w:rFonts w:ascii="方正黑体_GBK" w:hAnsi="方正黑体_GBK" w:eastAsia="方正黑体_GBK" w:cs="宋体"/>
                <w:sz w:val="22"/>
                <w:szCs w:val="22"/>
              </w:rPr>
              <w:t>A份额：NYXY000850</w:t>
            </w:r>
          </w:p>
          <w:p w14:paraId="0FC5CDCA">
            <w:pPr>
              <w:spacing w:line="240" w:lineRule="auto"/>
              <w:rPr>
                <w:sz w:val="28"/>
                <w:szCs w:val="28"/>
              </w:rPr>
            </w:pPr>
            <w:r>
              <w:rPr>
                <w:rFonts w:ascii="方正黑体_GBK" w:hAnsi="方正黑体_GBK" w:eastAsia="方正黑体_GBK" w:cs="宋体"/>
                <w:sz w:val="22"/>
                <w:szCs w:val="22"/>
              </w:rPr>
              <w:t>B份额：NYXY000851</w:t>
            </w:r>
          </w:p>
          <w:p w14:paraId="75A65D7C">
            <w:pPr>
              <w:spacing w:line="240" w:lineRule="auto"/>
              <w:rPr>
                <w:sz w:val="28"/>
                <w:szCs w:val="28"/>
              </w:rPr>
            </w:pPr>
            <w:r>
              <w:rPr>
                <w:rFonts w:ascii="方正黑体_GBK" w:hAnsi="方正黑体_GBK" w:eastAsia="方正黑体_GBK" w:cs="宋体"/>
                <w:sz w:val="22"/>
                <w:szCs w:val="22"/>
              </w:rPr>
              <w:t>C份额：NYXY000852</w:t>
            </w:r>
          </w:p>
          <w:p w14:paraId="26F451CD">
            <w:pPr>
              <w:spacing w:line="240" w:lineRule="auto"/>
              <w:rPr>
                <w:sz w:val="28"/>
                <w:szCs w:val="28"/>
              </w:rPr>
            </w:pPr>
            <w:r>
              <w:rPr>
                <w:rFonts w:ascii="方正黑体_GBK" w:hAnsi="方正黑体_GBK" w:eastAsia="方正黑体_GBK" w:cs="宋体"/>
                <w:sz w:val="22"/>
                <w:szCs w:val="22"/>
              </w:rPr>
              <w:t>F份额：NYXY000950</w:t>
            </w:r>
          </w:p>
          <w:p w14:paraId="6F08C45D">
            <w:pPr>
              <w:spacing w:line="240" w:lineRule="auto"/>
              <w:rPr>
                <w:sz w:val="28"/>
                <w:szCs w:val="28"/>
              </w:rPr>
            </w:pPr>
            <w:r>
              <w:rPr>
                <w:rFonts w:ascii="方正黑体_GBK" w:hAnsi="方正黑体_GBK" w:eastAsia="方正黑体_GBK" w:cs="宋体"/>
                <w:sz w:val="22"/>
                <w:szCs w:val="22"/>
              </w:rPr>
              <w:t>J份额：NYXY000853</w:t>
            </w:r>
          </w:p>
          <w:p w14:paraId="31FA759E">
            <w:pPr>
              <w:spacing w:line="240" w:lineRule="auto"/>
              <w:rPr>
                <w:sz w:val="28"/>
                <w:szCs w:val="28"/>
              </w:rPr>
            </w:pPr>
            <w:r>
              <w:rPr>
                <w:rFonts w:ascii="方正黑体_GBK" w:hAnsi="方正黑体_GBK" w:eastAsia="方正黑体_GBK" w:cs="宋体"/>
                <w:sz w:val="22"/>
                <w:szCs w:val="22"/>
              </w:rPr>
              <w:t>L份额：NYXY000854</w:t>
            </w:r>
          </w:p>
          <w:p w14:paraId="20D39BE2">
            <w:pPr>
              <w:spacing w:line="240" w:lineRule="auto"/>
              <w:rPr>
                <w:sz w:val="28"/>
                <w:szCs w:val="28"/>
              </w:rPr>
            </w:pPr>
            <w:r>
              <w:rPr>
                <w:rFonts w:ascii="方正黑体_GBK" w:hAnsi="方正黑体_GBK" w:eastAsia="方正黑体_GBK" w:cs="宋体"/>
                <w:sz w:val="22"/>
                <w:szCs w:val="22"/>
              </w:rPr>
              <w:t>Q份额：NYXY000855</w:t>
            </w:r>
          </w:p>
          <w:p w14:paraId="6EE015CB">
            <w:pPr>
              <w:spacing w:line="240" w:lineRule="auto"/>
              <w:rPr>
                <w:sz w:val="28"/>
                <w:szCs w:val="28"/>
              </w:rPr>
            </w:pPr>
            <w:r>
              <w:rPr>
                <w:rFonts w:ascii="方正黑体_GBK" w:hAnsi="方正黑体_GBK" w:eastAsia="方正黑体_GBK" w:cs="宋体"/>
                <w:sz w:val="22"/>
                <w:szCs w:val="22"/>
              </w:rPr>
              <w:t>R份额：NYXY000951</w:t>
            </w:r>
          </w:p>
          <w:p w14:paraId="1573E3A6">
            <w:pPr>
              <w:spacing w:line="240" w:lineRule="auto"/>
              <w:rPr>
                <w:sz w:val="28"/>
                <w:szCs w:val="28"/>
              </w:rPr>
            </w:pPr>
            <w:r>
              <w:rPr>
                <w:rFonts w:ascii="方正黑体_GBK" w:hAnsi="方正黑体_GBK" w:eastAsia="方正黑体_GBK" w:cs="宋体"/>
                <w:sz w:val="22"/>
                <w:szCs w:val="22"/>
              </w:rPr>
              <w:t>Q2份额：NYXY000953</w:t>
            </w:r>
          </w:p>
          <w:p w14:paraId="3BB8D63F">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253034F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9D9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72A57E65">
            <w:pPr>
              <w:spacing w:line="240" w:lineRule="auto"/>
              <w:rPr>
                <w:sz w:val="28"/>
                <w:szCs w:val="28"/>
              </w:rPr>
            </w:pPr>
            <w:r>
              <w:rPr>
                <w:rFonts w:ascii="方正黑体_GBK" w:hAnsi="方正黑体_GBK" w:eastAsia="方正黑体_GBK" w:cs="宋体"/>
                <w:sz w:val="22"/>
                <w:szCs w:val="22"/>
              </w:rPr>
              <w:t>全国</w:t>
            </w:r>
          </w:p>
        </w:tc>
      </w:tr>
      <w:tr w14:paraId="59E41D2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F9C6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2902D02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71541FE4">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3018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39BC13AD">
            <w:pPr>
              <w:spacing w:line="240" w:lineRule="auto"/>
              <w:rPr>
                <w:sz w:val="28"/>
                <w:szCs w:val="28"/>
              </w:rPr>
            </w:pPr>
            <w:r>
              <w:rPr>
                <w:rFonts w:ascii="方正黑体_GBK" w:hAnsi="方正黑体_GBK" w:eastAsia="方正黑体_GBK" w:cs="宋体"/>
                <w:sz w:val="22"/>
                <w:szCs w:val="22"/>
              </w:rPr>
              <w:t>本理财产品规模上限为100亿元。</w:t>
            </w:r>
          </w:p>
        </w:tc>
      </w:tr>
      <w:tr w14:paraId="3306474B">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E20BF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5DB8AB8D">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5ACC180A">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255BA304">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D6C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47CE36B6">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5E55A3F5">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除母亲节客户外的其他客户）、江苏江南农村商业银行股份有限公司（除财富、代发薪客户和新资金客户外的其他客户）、蒙商银行股份有限公司（除财富客户外的其他客户）、广州农村商业银行股份有限公司、苏州银行股份有限公司、长安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永丰银行（中国）有限公司、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4B6BDA44">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杭州银行股份有限公司(除私行客户外的其他客户)、温州银行股份有限公司、江苏张家港农村商业银行股份有限公司、浙江民泰商业银行股份有限公司、广州银行股份有限公司、江苏常熟农村商业银行股份有限公司(1万元起购)、江苏江南农村商业银行股份有限公司(财富客户)、秦皇岛银行股份有限公司、齐鲁银行股份有限公司(白金/私行客户)、台州银行股份有限公司(除新客户外的其他客户)、天津农村商业银行股份有限公司(企业拓展客户)、兰州银行股份有限公司、甘肃银行股份有限公司、东营银行股份有限公司、桂林银行股份有限公司（财富客户）、石嘴山银行股份有限公司（财富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2F548D90">
            <w:pPr>
              <w:spacing w:line="240" w:lineRule="auto"/>
              <w:rPr>
                <w:sz w:val="28"/>
                <w:szCs w:val="28"/>
              </w:rPr>
            </w:pPr>
            <w:r>
              <w:rPr>
                <w:rFonts w:ascii="方正黑体_GBK" w:hAnsi="方正黑体_GBK" w:eastAsia="方正黑体_GBK" w:cs="宋体"/>
                <w:sz w:val="22"/>
                <w:szCs w:val="22"/>
              </w:rPr>
              <w:t>C份额：南京银行股份有限公司(对公客户)、杭州银行股份有限公司(私行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台州银行股份有限公司(新客专享)、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2B49C271">
            <w:pPr>
              <w:spacing w:line="240" w:lineRule="auto"/>
              <w:rPr>
                <w:sz w:val="28"/>
                <w:szCs w:val="28"/>
              </w:rPr>
            </w:pPr>
            <w:r>
              <w:rPr>
                <w:rFonts w:ascii="方正黑体_GBK" w:hAnsi="方正黑体_GBK" w:eastAsia="方正黑体_GBK" w:cs="宋体"/>
                <w:sz w:val="22"/>
                <w:szCs w:val="22"/>
              </w:rPr>
              <w:t>F份额：兴业银行股份有限公司。</w:t>
            </w:r>
          </w:p>
          <w:p w14:paraId="07651779">
            <w:pPr>
              <w:spacing w:line="240" w:lineRule="auto"/>
              <w:rPr>
                <w:sz w:val="28"/>
                <w:szCs w:val="28"/>
              </w:rPr>
            </w:pPr>
            <w:r>
              <w:rPr>
                <w:rFonts w:ascii="方正黑体_GBK" w:hAnsi="方正黑体_GBK" w:eastAsia="方正黑体_GBK" w:cs="宋体"/>
                <w:sz w:val="22"/>
                <w:szCs w:val="22"/>
              </w:rPr>
              <w:t>J份额：昆山鹿城村镇银行股份有限公司。</w:t>
            </w:r>
          </w:p>
          <w:p w14:paraId="2FECDA26">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092E4FD0">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30A73221">
            <w:pPr>
              <w:spacing w:line="240" w:lineRule="auto"/>
              <w:rPr>
                <w:sz w:val="28"/>
                <w:szCs w:val="28"/>
              </w:rPr>
            </w:pPr>
            <w:r>
              <w:rPr>
                <w:rFonts w:ascii="方正黑体_GBK" w:hAnsi="方正黑体_GBK" w:eastAsia="方正黑体_GBK" w:cs="宋体"/>
                <w:sz w:val="22"/>
                <w:szCs w:val="22"/>
              </w:rPr>
              <w:t>R份额：金华银行股份有限公司（母亲节客户）。</w:t>
            </w:r>
          </w:p>
          <w:p w14:paraId="2377AF17">
            <w:pPr>
              <w:spacing w:line="240" w:lineRule="auto"/>
              <w:rPr>
                <w:sz w:val="28"/>
                <w:szCs w:val="28"/>
              </w:rPr>
            </w:pPr>
            <w:r>
              <w:rPr>
                <w:rFonts w:ascii="方正黑体_GBK" w:hAnsi="方正黑体_GBK" w:eastAsia="方正黑体_GBK" w:cs="宋体"/>
                <w:sz w:val="22"/>
                <w:szCs w:val="22"/>
              </w:rPr>
              <w:t>Q2份额：中国银行股份有限公司。</w:t>
            </w:r>
          </w:p>
          <w:p w14:paraId="22179DFF">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76035C60">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40072DB5">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AA95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14A1DD20">
            <w:pPr>
              <w:spacing w:line="240" w:lineRule="auto"/>
              <w:rPr>
                <w:sz w:val="28"/>
                <w:szCs w:val="28"/>
              </w:rPr>
            </w:pPr>
            <w:r>
              <w:rPr>
                <w:rFonts w:ascii="方正黑体_GBK" w:hAnsi="方正黑体_GBK" w:eastAsia="方正黑体_GBK" w:cs="宋体"/>
                <w:sz w:val="22"/>
                <w:szCs w:val="22"/>
              </w:rPr>
              <w:t>A份额/B份额/C份额/F份额/J份额/L份额/Q份额/R份额/Q2份额：</w:t>
            </w:r>
          </w:p>
          <w:p w14:paraId="57E47058">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39E44E0D">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4ECEB8F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05CD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5CE4AF77">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74172FAF">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7238470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15CA9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003A314F">
            <w:pPr>
              <w:spacing w:line="240" w:lineRule="auto"/>
              <w:rPr>
                <w:sz w:val="28"/>
                <w:szCs w:val="28"/>
              </w:rPr>
            </w:pPr>
            <w:r>
              <w:rPr>
                <w:rFonts w:ascii="方正黑体_GBK" w:hAnsi="方正黑体_GBK" w:eastAsia="方正黑体_GBK" w:cs="宋体"/>
                <w:color w:val="000000"/>
                <w:sz w:val="22"/>
                <w:szCs w:val="22"/>
              </w:rPr>
              <w:t>2026年05月13日 09:00—2026年05月19日 17:00</w:t>
            </w:r>
          </w:p>
        </w:tc>
      </w:tr>
      <w:tr w14:paraId="1DAAEAC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69A2C7">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90BDEE0">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37FB6B8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690A2F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0584BE3">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5EAE840E">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DDD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116C6351">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2026年05月20日</w:t>
            </w:r>
          </w:p>
        </w:tc>
      </w:tr>
      <w:tr w14:paraId="77565DD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0986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843C928">
            <w:pPr>
              <w:spacing w:line="240" w:lineRule="auto"/>
              <w:rPr>
                <w:sz w:val="28"/>
                <w:szCs w:val="28"/>
              </w:rPr>
            </w:pPr>
            <w:r>
              <w:rPr>
                <w:rFonts w:ascii="方正黑体_GBK" w:hAnsi="方正黑体_GBK" w:eastAsia="方正黑体_GBK" w:cs="宋体"/>
                <w:sz w:val="22"/>
                <w:szCs w:val="22"/>
              </w:rPr>
              <w:t>2026年05月20日—实际到期日（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7EA37B4">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AB11C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5B768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2026年12月02日</w:t>
            </w:r>
          </w:p>
        </w:tc>
      </w:tr>
      <w:tr w14:paraId="50CA5583">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674A5E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7054CA7">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0812EC2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BA5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4F0596B8">
            <w:pPr>
              <w:spacing w:line="240" w:lineRule="auto"/>
              <w:rPr>
                <w:sz w:val="28"/>
                <w:szCs w:val="28"/>
              </w:rPr>
            </w:pPr>
            <w:r>
              <w:rPr>
                <w:rFonts w:ascii="方正黑体_GBK" w:hAnsi="方正黑体_GBK" w:eastAsia="方正黑体_GBK" w:cs="宋体"/>
                <w:sz w:val="22"/>
                <w:szCs w:val="22"/>
              </w:rPr>
              <w:t>本理财产品存续期间不进行分红。</w:t>
            </w:r>
          </w:p>
          <w:p w14:paraId="7F8EFBB8">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5B891E1E">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057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3FDBC2F6">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744583A8">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0F190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7890920B">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53CD7C12">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5005E866">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AF3647B">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340F283A">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58B9E64F">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34582D2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5911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7DDC8A5F">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36DFD003">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39ED260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276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63A2500B">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661E190C">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5F7BF4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6BDC136C">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1A6969E8">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0A0E47D0">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11D79306">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51911A19">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55016FDD">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097F2C55">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3B2572ED">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70F7D352">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2366FEED">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5EFCE27E">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44042BC2">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6060C47C">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B68F31B">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48CD1CF3">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2118287D">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4115A668">
            <w:pPr>
              <w:spacing w:line="240" w:lineRule="auto"/>
              <w:rPr>
                <w:sz w:val="28"/>
                <w:szCs w:val="28"/>
              </w:rPr>
            </w:pPr>
            <w:r>
              <w:rPr>
                <w:rFonts w:ascii="方正黑体_GBK" w:hAnsi="方正黑体_GBK" w:eastAsia="方正黑体_GBK" w:cs="宋体"/>
                <w:b/>
                <w:sz w:val="22"/>
                <w:szCs w:val="22"/>
              </w:rPr>
              <w:t>以上资产剩余期限均不超过产品期限。</w:t>
            </w:r>
          </w:p>
          <w:p w14:paraId="78B243B9">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1CC31A5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E4CF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67E09A56">
            <w:pPr>
              <w:spacing w:line="240" w:lineRule="auto"/>
              <w:rPr>
                <w:sz w:val="28"/>
                <w:szCs w:val="28"/>
              </w:rPr>
            </w:pPr>
            <w:r>
              <w:rPr>
                <w:rFonts w:ascii="方正黑体_GBK" w:hAnsi="方正黑体_GBK" w:eastAsia="方正黑体_GBK" w:cs="宋体"/>
                <w:sz w:val="22"/>
                <w:szCs w:val="22"/>
              </w:rPr>
              <w:t>A份额：业绩比较基准为1.83%(年化)。</w:t>
            </w:r>
          </w:p>
          <w:p w14:paraId="4C5C0E16">
            <w:pPr>
              <w:spacing w:line="240" w:lineRule="auto"/>
              <w:rPr>
                <w:sz w:val="28"/>
                <w:szCs w:val="28"/>
              </w:rPr>
            </w:pPr>
            <w:r>
              <w:rPr>
                <w:rFonts w:ascii="方正黑体_GBK" w:hAnsi="方正黑体_GBK" w:eastAsia="方正黑体_GBK" w:cs="宋体"/>
                <w:sz w:val="22"/>
                <w:szCs w:val="22"/>
              </w:rPr>
              <w:t>B份额：业绩比较基准为1.93%(年化)。</w:t>
            </w:r>
          </w:p>
          <w:p w14:paraId="2D49B9E5">
            <w:pPr>
              <w:spacing w:line="240" w:lineRule="auto"/>
              <w:rPr>
                <w:sz w:val="28"/>
                <w:szCs w:val="28"/>
              </w:rPr>
            </w:pPr>
            <w:r>
              <w:rPr>
                <w:rFonts w:ascii="方正黑体_GBK" w:hAnsi="方正黑体_GBK" w:eastAsia="方正黑体_GBK" w:cs="宋体"/>
                <w:sz w:val="22"/>
                <w:szCs w:val="22"/>
              </w:rPr>
              <w:t>C份额：业绩比较基准为2.03%(年化)。</w:t>
            </w:r>
          </w:p>
          <w:p w14:paraId="1BC5A595">
            <w:pPr>
              <w:spacing w:line="240" w:lineRule="auto"/>
              <w:rPr>
                <w:sz w:val="28"/>
                <w:szCs w:val="28"/>
              </w:rPr>
            </w:pPr>
            <w:r>
              <w:rPr>
                <w:rFonts w:ascii="方正黑体_GBK" w:hAnsi="方正黑体_GBK" w:eastAsia="方正黑体_GBK" w:cs="宋体"/>
                <w:sz w:val="22"/>
                <w:szCs w:val="22"/>
              </w:rPr>
              <w:t>F份额：业绩比较基准为1.93%(年化)。</w:t>
            </w:r>
          </w:p>
          <w:p w14:paraId="209F2B52">
            <w:pPr>
              <w:spacing w:line="240" w:lineRule="auto"/>
              <w:rPr>
                <w:sz w:val="28"/>
                <w:szCs w:val="28"/>
              </w:rPr>
            </w:pPr>
            <w:r>
              <w:rPr>
                <w:rFonts w:ascii="方正黑体_GBK" w:hAnsi="方正黑体_GBK" w:eastAsia="方正黑体_GBK" w:cs="宋体"/>
                <w:sz w:val="22"/>
                <w:szCs w:val="22"/>
              </w:rPr>
              <w:t>J份额：业绩比较基准为1.83%(年化)。</w:t>
            </w:r>
          </w:p>
          <w:p w14:paraId="5AF44BA8">
            <w:pPr>
              <w:spacing w:line="240" w:lineRule="auto"/>
              <w:rPr>
                <w:sz w:val="28"/>
                <w:szCs w:val="28"/>
              </w:rPr>
            </w:pPr>
            <w:r>
              <w:rPr>
                <w:rFonts w:ascii="方正黑体_GBK" w:hAnsi="方正黑体_GBK" w:eastAsia="方正黑体_GBK" w:cs="宋体"/>
                <w:sz w:val="22"/>
                <w:szCs w:val="22"/>
              </w:rPr>
              <w:t>L份额：业绩比较基准为2.08%(年化)。</w:t>
            </w:r>
          </w:p>
          <w:p w14:paraId="414DF3D4">
            <w:pPr>
              <w:spacing w:line="240" w:lineRule="auto"/>
              <w:rPr>
                <w:sz w:val="28"/>
                <w:szCs w:val="28"/>
              </w:rPr>
            </w:pPr>
            <w:r>
              <w:rPr>
                <w:rFonts w:ascii="方正黑体_GBK" w:hAnsi="方正黑体_GBK" w:eastAsia="方正黑体_GBK" w:cs="宋体"/>
                <w:sz w:val="22"/>
                <w:szCs w:val="22"/>
              </w:rPr>
              <w:t>Q份额：业绩比较基准为1.98%(年化)。</w:t>
            </w:r>
          </w:p>
          <w:p w14:paraId="6F0A2DD8">
            <w:pPr>
              <w:spacing w:line="240" w:lineRule="auto"/>
              <w:rPr>
                <w:sz w:val="28"/>
                <w:szCs w:val="28"/>
              </w:rPr>
            </w:pPr>
            <w:r>
              <w:rPr>
                <w:rFonts w:ascii="方正黑体_GBK" w:hAnsi="方正黑体_GBK" w:eastAsia="方正黑体_GBK" w:cs="宋体"/>
                <w:sz w:val="22"/>
                <w:szCs w:val="22"/>
              </w:rPr>
              <w:t>R份额：业绩比较基准为2.03%(年化)。</w:t>
            </w:r>
          </w:p>
          <w:p w14:paraId="6126B0FB">
            <w:pPr>
              <w:spacing w:line="240" w:lineRule="auto"/>
              <w:rPr>
                <w:sz w:val="28"/>
                <w:szCs w:val="28"/>
              </w:rPr>
            </w:pPr>
            <w:r>
              <w:rPr>
                <w:rFonts w:ascii="方正黑体_GBK" w:hAnsi="方正黑体_GBK" w:eastAsia="方正黑体_GBK" w:cs="宋体"/>
                <w:sz w:val="22"/>
                <w:szCs w:val="22"/>
              </w:rPr>
              <w:t>Q2份额：业绩比较基准为2.1%(年化)。</w:t>
            </w:r>
          </w:p>
          <w:p w14:paraId="377D908B">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19F47F9D">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22000F7F">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2A484740">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05799B9">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16E99559">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26FD182F">
            <w:pPr>
              <w:spacing w:line="240" w:lineRule="auto"/>
              <w:rPr>
                <w:sz w:val="28"/>
                <w:szCs w:val="28"/>
              </w:rPr>
            </w:pPr>
            <w:r>
              <w:rPr>
                <w:rFonts w:ascii="方正黑体_GBK" w:hAnsi="方正黑体_GBK" w:eastAsia="方正黑体_GBK" w:cs="宋体"/>
                <w:b/>
                <w:sz w:val="22"/>
                <w:szCs w:val="22"/>
              </w:rPr>
              <w:t>赎回费：本理财产品暂不收取赎回费。</w:t>
            </w:r>
          </w:p>
          <w:p w14:paraId="31284BFD">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0493B690">
            <w:pPr>
              <w:spacing w:line="240" w:lineRule="auto"/>
              <w:rPr>
                <w:sz w:val="28"/>
                <w:szCs w:val="28"/>
              </w:rPr>
            </w:pPr>
            <w:r>
              <w:rPr>
                <w:rFonts w:ascii="方正黑体_GBK" w:hAnsi="方正黑体_GBK" w:eastAsia="方正黑体_GBK" w:cs="宋体"/>
                <w:b/>
                <w:sz w:val="22"/>
                <w:szCs w:val="22"/>
              </w:rPr>
              <w:t>A份额：销售费年化0.2%</w:t>
            </w:r>
          </w:p>
          <w:p w14:paraId="4CE80F2A">
            <w:pPr>
              <w:spacing w:line="240" w:lineRule="auto"/>
              <w:rPr>
                <w:sz w:val="28"/>
                <w:szCs w:val="28"/>
              </w:rPr>
            </w:pPr>
            <w:r>
              <w:rPr>
                <w:rFonts w:ascii="方正黑体_GBK" w:hAnsi="方正黑体_GBK" w:eastAsia="方正黑体_GBK" w:cs="宋体"/>
                <w:b/>
                <w:sz w:val="22"/>
                <w:szCs w:val="22"/>
              </w:rPr>
              <w:t>B份额：销售费年化0.15%</w:t>
            </w:r>
          </w:p>
          <w:p w14:paraId="5A7D4453">
            <w:pPr>
              <w:spacing w:line="240" w:lineRule="auto"/>
              <w:rPr>
                <w:sz w:val="28"/>
                <w:szCs w:val="28"/>
              </w:rPr>
            </w:pPr>
            <w:r>
              <w:rPr>
                <w:rFonts w:ascii="方正黑体_GBK" w:hAnsi="方正黑体_GBK" w:eastAsia="方正黑体_GBK" w:cs="宋体"/>
                <w:b/>
                <w:sz w:val="22"/>
                <w:szCs w:val="22"/>
              </w:rPr>
              <w:t>C份额：销售费年化0.05%</w:t>
            </w:r>
          </w:p>
          <w:p w14:paraId="541ED2FA">
            <w:pPr>
              <w:spacing w:line="240" w:lineRule="auto"/>
              <w:rPr>
                <w:sz w:val="28"/>
                <w:szCs w:val="28"/>
              </w:rPr>
            </w:pPr>
            <w:r>
              <w:rPr>
                <w:rFonts w:ascii="方正黑体_GBK" w:hAnsi="方正黑体_GBK" w:eastAsia="方正黑体_GBK" w:cs="宋体"/>
                <w:b/>
                <w:sz w:val="22"/>
                <w:szCs w:val="22"/>
              </w:rPr>
              <w:t>F份额：销售费年化0.2%</w:t>
            </w:r>
          </w:p>
          <w:p w14:paraId="0804328E">
            <w:pPr>
              <w:spacing w:line="240" w:lineRule="auto"/>
              <w:rPr>
                <w:sz w:val="28"/>
                <w:szCs w:val="28"/>
              </w:rPr>
            </w:pPr>
            <w:r>
              <w:rPr>
                <w:rFonts w:ascii="方正黑体_GBK" w:hAnsi="方正黑体_GBK" w:eastAsia="方正黑体_GBK" w:cs="宋体"/>
                <w:b/>
                <w:sz w:val="22"/>
                <w:szCs w:val="22"/>
              </w:rPr>
              <w:t>J份额：销售费年化0.2%</w:t>
            </w:r>
          </w:p>
          <w:p w14:paraId="6D1D1DA3">
            <w:pPr>
              <w:spacing w:line="240" w:lineRule="auto"/>
              <w:rPr>
                <w:sz w:val="28"/>
                <w:szCs w:val="28"/>
              </w:rPr>
            </w:pPr>
            <w:r>
              <w:rPr>
                <w:rFonts w:ascii="方正黑体_GBK" w:hAnsi="方正黑体_GBK" w:eastAsia="方正黑体_GBK" w:cs="宋体"/>
                <w:b/>
                <w:sz w:val="22"/>
                <w:szCs w:val="22"/>
              </w:rPr>
              <w:t>L份额：销售费年化0.05%</w:t>
            </w:r>
          </w:p>
          <w:p w14:paraId="03C5BE98">
            <w:pPr>
              <w:spacing w:line="240" w:lineRule="auto"/>
              <w:rPr>
                <w:sz w:val="28"/>
                <w:szCs w:val="28"/>
              </w:rPr>
            </w:pPr>
            <w:r>
              <w:rPr>
                <w:rFonts w:ascii="方正黑体_GBK" w:hAnsi="方正黑体_GBK" w:eastAsia="方正黑体_GBK" w:cs="宋体"/>
                <w:b/>
                <w:sz w:val="22"/>
                <w:szCs w:val="22"/>
              </w:rPr>
              <w:t>Q份额：销售费年化0.1%</w:t>
            </w:r>
          </w:p>
          <w:p w14:paraId="4D89DC67">
            <w:pPr>
              <w:spacing w:line="240" w:lineRule="auto"/>
              <w:rPr>
                <w:sz w:val="28"/>
                <w:szCs w:val="28"/>
              </w:rPr>
            </w:pPr>
            <w:r>
              <w:rPr>
                <w:rFonts w:ascii="方正黑体_GBK" w:hAnsi="方正黑体_GBK" w:eastAsia="方正黑体_GBK" w:cs="宋体"/>
                <w:b/>
                <w:sz w:val="22"/>
                <w:szCs w:val="22"/>
              </w:rPr>
              <w:t>R份额：销售费年化0.05%</w:t>
            </w:r>
          </w:p>
          <w:p w14:paraId="531FA132">
            <w:pPr>
              <w:spacing w:line="240" w:lineRule="auto"/>
              <w:rPr>
                <w:sz w:val="28"/>
                <w:szCs w:val="28"/>
              </w:rPr>
            </w:pPr>
            <w:r>
              <w:rPr>
                <w:rFonts w:ascii="方正黑体_GBK" w:hAnsi="方正黑体_GBK" w:eastAsia="方正黑体_GBK" w:cs="宋体"/>
                <w:b/>
                <w:sz w:val="22"/>
                <w:szCs w:val="22"/>
              </w:rPr>
              <w:t>Q2份额：销售费年化0.1%</w:t>
            </w:r>
          </w:p>
          <w:p w14:paraId="250D8C46">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8FB9A36">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05DD6E11">
            <w:pPr>
              <w:spacing w:line="240" w:lineRule="auto"/>
              <w:rPr>
                <w:sz w:val="28"/>
                <w:szCs w:val="28"/>
              </w:rPr>
            </w:pPr>
            <w:r>
              <w:rPr>
                <w:rFonts w:ascii="方正黑体_GBK" w:hAnsi="方正黑体_GBK" w:eastAsia="方正黑体_GBK" w:cs="宋体"/>
                <w:b/>
                <w:sz w:val="22"/>
                <w:szCs w:val="22"/>
              </w:rPr>
              <w:t>A份额：固定管理费年化0.18%</w:t>
            </w:r>
          </w:p>
          <w:p w14:paraId="19BEDB0A">
            <w:pPr>
              <w:spacing w:line="240" w:lineRule="auto"/>
              <w:rPr>
                <w:sz w:val="28"/>
                <w:szCs w:val="28"/>
              </w:rPr>
            </w:pPr>
            <w:r>
              <w:rPr>
                <w:rFonts w:ascii="方正黑体_GBK" w:hAnsi="方正黑体_GBK" w:eastAsia="方正黑体_GBK" w:cs="宋体"/>
                <w:b/>
                <w:sz w:val="22"/>
                <w:szCs w:val="22"/>
              </w:rPr>
              <w:t>B份额：固定管理费年化0.13%</w:t>
            </w:r>
          </w:p>
          <w:p w14:paraId="3905488F">
            <w:pPr>
              <w:spacing w:line="240" w:lineRule="auto"/>
              <w:rPr>
                <w:sz w:val="28"/>
                <w:szCs w:val="28"/>
              </w:rPr>
            </w:pPr>
            <w:r>
              <w:rPr>
                <w:rFonts w:ascii="方正黑体_GBK" w:hAnsi="方正黑体_GBK" w:eastAsia="方正黑体_GBK" w:cs="宋体"/>
                <w:b/>
                <w:sz w:val="22"/>
                <w:szCs w:val="22"/>
              </w:rPr>
              <w:t>C份额：固定管理费年化0.13%</w:t>
            </w:r>
          </w:p>
          <w:p w14:paraId="7D332270">
            <w:pPr>
              <w:spacing w:line="240" w:lineRule="auto"/>
              <w:rPr>
                <w:sz w:val="28"/>
                <w:szCs w:val="28"/>
              </w:rPr>
            </w:pPr>
            <w:r>
              <w:rPr>
                <w:rFonts w:ascii="方正黑体_GBK" w:hAnsi="方正黑体_GBK" w:eastAsia="方正黑体_GBK" w:cs="宋体"/>
                <w:b/>
                <w:sz w:val="22"/>
                <w:szCs w:val="22"/>
              </w:rPr>
              <w:t>F份额：固定管理费年化0.08%</w:t>
            </w:r>
          </w:p>
          <w:p w14:paraId="7D3F9B8E">
            <w:pPr>
              <w:spacing w:line="240" w:lineRule="auto"/>
              <w:rPr>
                <w:sz w:val="28"/>
                <w:szCs w:val="28"/>
              </w:rPr>
            </w:pPr>
            <w:r>
              <w:rPr>
                <w:rFonts w:ascii="方正黑体_GBK" w:hAnsi="方正黑体_GBK" w:eastAsia="方正黑体_GBK" w:cs="宋体"/>
                <w:b/>
                <w:sz w:val="22"/>
                <w:szCs w:val="22"/>
              </w:rPr>
              <w:t>J份额：固定管理费年化0.18%</w:t>
            </w:r>
          </w:p>
          <w:p w14:paraId="24B37206">
            <w:pPr>
              <w:spacing w:line="240" w:lineRule="auto"/>
              <w:rPr>
                <w:sz w:val="28"/>
                <w:szCs w:val="28"/>
              </w:rPr>
            </w:pPr>
            <w:r>
              <w:rPr>
                <w:rFonts w:ascii="方正黑体_GBK" w:hAnsi="方正黑体_GBK" w:eastAsia="方正黑体_GBK" w:cs="宋体"/>
                <w:b/>
                <w:sz w:val="22"/>
                <w:szCs w:val="22"/>
              </w:rPr>
              <w:t>L份额：固定管理费年化0.08%</w:t>
            </w:r>
          </w:p>
          <w:p w14:paraId="33887345">
            <w:pPr>
              <w:spacing w:line="240" w:lineRule="auto"/>
              <w:rPr>
                <w:sz w:val="28"/>
                <w:szCs w:val="28"/>
              </w:rPr>
            </w:pPr>
            <w:r>
              <w:rPr>
                <w:rFonts w:ascii="方正黑体_GBK" w:hAnsi="方正黑体_GBK" w:eastAsia="方正黑体_GBK" w:cs="宋体"/>
                <w:b/>
                <w:sz w:val="22"/>
                <w:szCs w:val="22"/>
              </w:rPr>
              <w:t>Q份额：固定管理费年化0.13%</w:t>
            </w:r>
          </w:p>
          <w:p w14:paraId="4E391913">
            <w:pPr>
              <w:spacing w:line="240" w:lineRule="auto"/>
              <w:rPr>
                <w:sz w:val="28"/>
                <w:szCs w:val="28"/>
              </w:rPr>
            </w:pPr>
            <w:r>
              <w:rPr>
                <w:rFonts w:ascii="方正黑体_GBK" w:hAnsi="方正黑体_GBK" w:eastAsia="方正黑体_GBK" w:cs="宋体"/>
                <w:b/>
                <w:sz w:val="22"/>
                <w:szCs w:val="22"/>
              </w:rPr>
              <w:t>R份额：固定管理费年化0.13%</w:t>
            </w:r>
          </w:p>
          <w:p w14:paraId="60310026">
            <w:pPr>
              <w:spacing w:line="240" w:lineRule="auto"/>
              <w:rPr>
                <w:sz w:val="28"/>
                <w:szCs w:val="28"/>
              </w:rPr>
            </w:pPr>
            <w:r>
              <w:rPr>
                <w:rFonts w:ascii="方正黑体_GBK" w:hAnsi="方正黑体_GBK" w:eastAsia="方正黑体_GBK" w:cs="宋体"/>
                <w:b/>
                <w:sz w:val="22"/>
                <w:szCs w:val="22"/>
              </w:rPr>
              <w:t>Q2份额：固定管理费年化0.01%</w:t>
            </w:r>
          </w:p>
          <w:p w14:paraId="76555063">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2364775F">
            <w:pPr>
              <w:spacing w:line="240" w:lineRule="auto"/>
              <w:rPr>
                <w:sz w:val="28"/>
                <w:szCs w:val="28"/>
              </w:rPr>
            </w:pPr>
            <w:r>
              <w:rPr>
                <w:rFonts w:ascii="方正黑体_GBK" w:hAnsi="方正黑体_GBK" w:eastAsia="方正黑体_GBK" w:cs="宋体"/>
                <w:b/>
                <w:sz w:val="22"/>
                <w:szCs w:val="22"/>
              </w:rPr>
              <w:t>托管费：</w:t>
            </w:r>
          </w:p>
          <w:p w14:paraId="2E8356C8">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48EFB88D">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24CFF2AF">
            <w:pPr>
              <w:spacing w:line="240" w:lineRule="auto"/>
              <w:rPr>
                <w:sz w:val="28"/>
                <w:szCs w:val="28"/>
              </w:rPr>
            </w:pPr>
            <w:r>
              <w:rPr>
                <w:rFonts w:ascii="方正黑体_GBK" w:hAnsi="方正黑体_GBK" w:eastAsia="方正黑体_GBK" w:cs="宋体"/>
                <w:b/>
                <w:sz w:val="22"/>
                <w:szCs w:val="22"/>
              </w:rPr>
              <w:t>业绩报酬：</w:t>
            </w:r>
          </w:p>
          <w:p w14:paraId="205C6551">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A份额：到期兑付时，当期产品投资的实际资产组合收益（扣除销售费、固定管理费、托管费等相关费用）超过1.83%（年化，即产品该份额对应的业绩报酬计提基准）时，超过部分管理人将按60%收取业绩报酬。</w:t>
            </w:r>
          </w:p>
          <w:p w14:paraId="36D4C929">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B份额：到期兑付时，当期产品投资的实际资产组合收益（扣除销售费、固定管理费、托管费等相关费用）超过1.93%（年化，即产品该份额对应的业绩报酬计提基准）时，超过部分管理人将按60%收取业绩报酬。</w:t>
            </w:r>
          </w:p>
          <w:p w14:paraId="54B741F5">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C份额：到期兑付时，当期产品投资的实际资产组合收益（扣除销售费、固定管理费、托管费等相关费用）超过2.03%（年化，即产品该份额对应的业绩报酬计提基准）时，超过部分管理人将按60%收取业绩报酬。</w:t>
            </w:r>
          </w:p>
          <w:p w14:paraId="0178695C">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F份额：到期兑付时，当期产品投资的实际资产组合收益（扣除销售费、固定管理费、托管费等相关费用）超过1.93%（年化，即产品该份额对应的业绩报酬计提基准）时，超过部分管理人将按60%收取业绩报酬。</w:t>
            </w:r>
          </w:p>
          <w:p w14:paraId="7B2A5384">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J份额：到期兑付时，当期产品投资的实际资产组合收益（扣除销售费、固定管理费、托管费等相关费用）超过1.83%（年化，即产品该份额对应的业绩报酬计提基准）时，超过部分管理人将按60%收取业绩报酬。</w:t>
            </w:r>
          </w:p>
          <w:p w14:paraId="02AB78BC">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L份额：到期兑付时，当期产品投资的实际资产组合收益（扣除销售费、固定管理费、托管费等相关费用）超过2.08%（年化，即产品该份额对应的业绩报酬计提基准）时，超过部分管理人将按60%收取业绩报酬。</w:t>
            </w:r>
          </w:p>
          <w:p w14:paraId="322C970B">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Q份额：到期兑付时，当期产品投资的实际资产组合收益（扣除销售费、固定管理费、托管费等相关费用）超过1.98%（年化，即产品该份额对应的业绩报酬计提基准）时，超过部分管理人将按60%收取业绩报酬。</w:t>
            </w:r>
          </w:p>
          <w:p w14:paraId="517677C2">
            <w:pPr>
              <w:spacing w:line="240" w:lineRule="auto"/>
              <w:rPr>
                <w:sz w:val="28"/>
                <w:szCs w:val="28"/>
              </w:rPr>
            </w:pPr>
            <w:r>
              <w:rPr>
                <w:rFonts w:ascii="方正黑体_GBK" w:hAnsi="方正黑体_GBK" w:eastAsia="方正黑体_GBK" w:cs="宋体"/>
                <w:b/>
                <w:sz w:val="22"/>
                <w:szCs w:val="22"/>
              </w:rPr>
              <w:t>R份额：到期兑付时，当期产品投资的实际资产组合收益（扣除销售费、固定管理费、托管费等相关费用）超过2.03%（年化，即产品该份额对应的业绩报酬计提基准）时，超过部分管理人将按60%收取业绩报酬。</w:t>
            </w:r>
          </w:p>
          <w:p w14:paraId="4175A690">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2E1E94CC">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8D48B66">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33BE42F5">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1CA59396">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473E356C">
            <w:pPr>
              <w:spacing w:line="240" w:lineRule="auto"/>
              <w:rPr>
                <w:sz w:val="28"/>
                <w:szCs w:val="28"/>
              </w:rPr>
            </w:pPr>
            <w:r>
              <w:rPr>
                <w:rFonts w:ascii="方正黑体_GBK" w:hAnsi="方正黑体_GBK" w:eastAsia="方正黑体_GBK" w:cs="宋体"/>
                <w:b/>
                <w:sz w:val="22"/>
                <w:szCs w:val="22"/>
              </w:rPr>
              <w:t>计算本区间业绩报酬的公式如下：</w:t>
            </w:r>
          </w:p>
          <w:p w14:paraId="31DF0BA8">
            <w:pPr>
              <w:spacing w:line="240" w:lineRule="auto"/>
              <w:rPr>
                <w:sz w:val="28"/>
                <w:szCs w:val="28"/>
              </w:rPr>
            </w:pPr>
            <w:r>
              <w:rPr>
                <w:rFonts w:ascii="方正黑体_GBK" w:hAnsi="方正黑体_GBK" w:eastAsia="方正黑体_GBK" w:cs="宋体"/>
                <w:b/>
                <w:sz w:val="22"/>
                <w:szCs w:val="22"/>
              </w:rPr>
              <w:t>A={B-C*D*(1+E*F/365)}*G。</w:t>
            </w:r>
          </w:p>
          <w:p w14:paraId="0E827075">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5C77106">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5ED6F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2F89D7CA">
            <w:pPr>
              <w:spacing w:line="240" w:lineRule="auto"/>
              <w:rPr>
                <w:sz w:val="28"/>
                <w:szCs w:val="28"/>
              </w:rPr>
            </w:pPr>
            <w:r>
              <w:rPr>
                <w:rFonts w:ascii="方正黑体_GBK" w:hAnsi="方正黑体_GBK" w:eastAsia="方正黑体_GBK" w:cs="宋体"/>
                <w:sz w:val="22"/>
                <w:szCs w:val="22"/>
              </w:rPr>
              <w:t>具体详见本理财产品风险揭示书。</w:t>
            </w:r>
          </w:p>
        </w:tc>
      </w:tr>
      <w:tr w14:paraId="7A512689">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C42B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BD1EE2C">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4E1783C2">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0E6270E8">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50971D77">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5FED10EC">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51645E9E">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61CA4FCD">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1EC77A5B">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662C33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23769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235CE54B">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杭州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473D8EFF">
            <w:pPr>
              <w:spacing w:line="240" w:lineRule="auto"/>
              <w:jc w:val="left"/>
              <w:rPr>
                <w:sz w:val="28"/>
                <w:szCs w:val="28"/>
              </w:rPr>
            </w:pPr>
            <w:r>
              <w:rPr>
                <w:rFonts w:ascii="方正黑体_GBK" w:hAnsi="方正黑体_GBK" w:eastAsia="方正黑体_GBK" w:cs="宋体"/>
                <w:sz w:val="22"/>
                <w:szCs w:val="22"/>
              </w:rPr>
              <w:t>销售机构主要职责如下：</w:t>
            </w:r>
          </w:p>
          <w:p w14:paraId="75E30576">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5B0C6224">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2953F085">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00536C0">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2368F133">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6FA3F241">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5E08AFC6">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CAB5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4D2C5E4">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57AA9B83">
            <w:pPr>
              <w:spacing w:line="240" w:lineRule="auto"/>
              <w:rPr>
                <w:sz w:val="28"/>
                <w:szCs w:val="28"/>
              </w:rPr>
            </w:pPr>
            <w:r>
              <w:rPr>
                <w:rFonts w:ascii="方正黑体_GBK" w:hAnsi="方正黑体_GBK" w:eastAsia="方正黑体_GBK" w:cs="宋体"/>
                <w:sz w:val="22"/>
                <w:szCs w:val="22"/>
              </w:rPr>
              <w:t>1.安全保管理财产品财产；</w:t>
            </w:r>
          </w:p>
          <w:p w14:paraId="4FD43BEF">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3C8E6C83">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661BE029">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44EFEF42">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0202C6D">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0778A9BA">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4021F201">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9D58470">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27B0D260">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CFD3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29AA4D95">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415F4852">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706AD28F">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粮信托有限责任公司、中信信托有限责任公司、鑫元基金管理有限公司。</w:t>
            </w:r>
          </w:p>
          <w:p w14:paraId="0015B150">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0A992AD1">
            <w:pPr>
              <w:spacing w:line="240" w:lineRule="auto"/>
              <w:rPr>
                <w:sz w:val="28"/>
                <w:szCs w:val="28"/>
              </w:rPr>
            </w:pPr>
            <w:r>
              <w:rPr>
                <w:rFonts w:ascii="方正黑体_GBK" w:hAnsi="方正黑体_GBK" w:eastAsia="方正黑体_GBK" w:cs="宋体"/>
                <w:sz w:val="22"/>
                <w:szCs w:val="22"/>
              </w:rPr>
              <w:t>上述投资合作机构简介：</w:t>
            </w:r>
          </w:p>
          <w:p w14:paraId="2EE92A51">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73202983">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02D37F8B">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548703FE">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5F9518A5">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21B6A1C0">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19D6103C">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28904006">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39E54CAE">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0C9337E6">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5F616C17">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1E005970">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3BE33C87">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5C548008">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72EF8DF9">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70CE108C">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78017CE3">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5E962480">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8B090B1">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0D172A8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8CE4A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2FE72318">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08F53E16">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5B29A9C2">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1970C347">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5B510AE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43E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26B5E0D1">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22F2B631">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57C1FD3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4AB60D9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611AF26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34C5783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7AEF7AA6">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2EB97B9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2EF11B1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31DE8F2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5F32D05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0F4683C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3E4E269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3FDD3D1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C64BDD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5621517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2A86A0A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39C420B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32CFCCA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9CC163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55B5E75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5FB6F0B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7A6D39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71AFC89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78E0C55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3066314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4A65B75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5B71D04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22B2005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75A35B8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4585ACC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3857F7A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522C319E">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43BD5409">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南银理财珠联璧合鑫逸稳半年176期封闭式公募人民币理财产品</w:t>
      </w:r>
      <w:r>
        <w:rPr>
          <w:rFonts w:hint="eastAsia" w:ascii="方正黑体_GBK" w:hAnsi="方正黑体_GBK" w:eastAsia="方正黑体_GBK"/>
          <w:vanish w:val="0"/>
          <w:color w:val="3D3D3D"/>
          <w:kern w:val="0"/>
          <w:sz w:val="20"/>
          <w:szCs w:val="20"/>
        </w:rPr>
        <w:t>。</w:t>
      </w:r>
    </w:p>
    <w:p w14:paraId="7591187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054D6D8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295830E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828425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238DCD94">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44AE9E0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0F4FEDB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47AF88D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2830AC2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2448E8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6E6FAA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73C7B1D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5760A03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61398C6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475E0E5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528F93A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038D1C7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1BBAFCD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0DC7C0B2">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7AC1EEBA">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65AC191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356A291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6FEC279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4CEA17A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7F017A2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13E78C4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11A47551">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1B662112">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6958A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53555DEF">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6D975B96">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2C655823">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4C35F87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28DF4A53">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5E57F8E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35B76B26">
      <w:pPr>
        <w:spacing w:line="240" w:lineRule="auto"/>
        <w:ind w:firstLine="300"/>
        <w:jc w:val="both"/>
        <w:rPr>
          <w:sz w:val="28"/>
          <w:szCs w:val="28"/>
        </w:rPr>
      </w:pPr>
      <w:r>
        <w:rPr>
          <w:rFonts w:ascii="方正黑体_GBK" w:hAnsi="方正黑体_GBK" w:eastAsia="方正黑体_GBK" w:cs="宋体"/>
          <w:sz w:val="20"/>
          <w:szCs w:val="24"/>
        </w:rPr>
        <w:t>（一）估值日</w:t>
      </w:r>
    </w:p>
    <w:p w14:paraId="2DF175A0">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5DB9C700">
      <w:pPr>
        <w:spacing w:line="240" w:lineRule="auto"/>
        <w:ind w:firstLine="300"/>
        <w:jc w:val="both"/>
        <w:rPr>
          <w:sz w:val="28"/>
          <w:szCs w:val="28"/>
        </w:rPr>
      </w:pPr>
      <w:r>
        <w:rPr>
          <w:rFonts w:ascii="方正黑体_GBK" w:hAnsi="方正黑体_GBK" w:eastAsia="方正黑体_GBK" w:cs="宋体"/>
          <w:sz w:val="20"/>
          <w:szCs w:val="24"/>
        </w:rPr>
        <w:t>（二）估值对象</w:t>
      </w:r>
    </w:p>
    <w:p w14:paraId="499B6EE7">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32690E9D">
      <w:pPr>
        <w:spacing w:line="240" w:lineRule="auto"/>
        <w:ind w:firstLine="300"/>
        <w:jc w:val="both"/>
        <w:rPr>
          <w:sz w:val="28"/>
          <w:szCs w:val="28"/>
        </w:rPr>
      </w:pPr>
      <w:r>
        <w:rPr>
          <w:rFonts w:ascii="方正黑体_GBK" w:hAnsi="方正黑体_GBK" w:eastAsia="方正黑体_GBK" w:cs="宋体"/>
          <w:sz w:val="20"/>
          <w:szCs w:val="24"/>
        </w:rPr>
        <w:t>（三）估值目的</w:t>
      </w:r>
    </w:p>
    <w:p w14:paraId="5730E5CE">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70738A4E">
      <w:pPr>
        <w:spacing w:line="240" w:lineRule="auto"/>
        <w:ind w:firstLine="300"/>
        <w:jc w:val="both"/>
        <w:rPr>
          <w:sz w:val="28"/>
          <w:szCs w:val="28"/>
        </w:rPr>
      </w:pPr>
      <w:r>
        <w:rPr>
          <w:rFonts w:ascii="方正黑体_GBK" w:hAnsi="方正黑体_GBK" w:eastAsia="方正黑体_GBK" w:cs="宋体"/>
          <w:sz w:val="20"/>
          <w:szCs w:val="24"/>
        </w:rPr>
        <w:t>（四）估值原则</w:t>
      </w:r>
    </w:p>
    <w:p w14:paraId="6422B608">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3A8CD9BF">
      <w:pPr>
        <w:spacing w:line="240" w:lineRule="auto"/>
        <w:ind w:firstLine="300"/>
        <w:jc w:val="both"/>
        <w:rPr>
          <w:sz w:val="28"/>
          <w:szCs w:val="28"/>
        </w:rPr>
      </w:pPr>
      <w:r>
        <w:rPr>
          <w:rFonts w:ascii="方正黑体_GBK" w:hAnsi="方正黑体_GBK" w:eastAsia="方正黑体_GBK" w:cs="宋体"/>
          <w:sz w:val="20"/>
          <w:szCs w:val="24"/>
        </w:rPr>
        <w:t>（五）估值方法</w:t>
      </w:r>
    </w:p>
    <w:p w14:paraId="48AA0168">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5C7105D">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29C3E6E3">
      <w:pPr>
        <w:spacing w:line="240" w:lineRule="auto"/>
        <w:ind w:firstLine="440"/>
        <w:rPr>
          <w:sz w:val="28"/>
          <w:szCs w:val="28"/>
        </w:rPr>
      </w:pPr>
      <w:r>
        <w:rPr>
          <w:rFonts w:ascii="方正黑体_GBK" w:hAnsi="方正黑体_GBK" w:eastAsia="方正黑体_GBK" w:cs="宋体"/>
          <w:sz w:val="22"/>
          <w:szCs w:val="24"/>
        </w:rPr>
        <w:t>以本金列示，逐日计提利息。</w:t>
      </w:r>
    </w:p>
    <w:p w14:paraId="0D6EC645">
      <w:pPr>
        <w:spacing w:line="240" w:lineRule="auto"/>
        <w:ind w:firstLine="440"/>
        <w:rPr>
          <w:sz w:val="28"/>
          <w:szCs w:val="28"/>
        </w:rPr>
      </w:pPr>
      <w:r>
        <w:rPr>
          <w:rFonts w:ascii="方正黑体_GBK" w:hAnsi="方正黑体_GBK" w:eastAsia="方正黑体_GBK" w:cs="宋体"/>
          <w:sz w:val="22"/>
          <w:szCs w:val="24"/>
        </w:rPr>
        <w:t>2.债券类资产</w:t>
      </w:r>
    </w:p>
    <w:p w14:paraId="5401C41C">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29ED5A75">
      <w:pPr>
        <w:spacing w:line="240" w:lineRule="auto"/>
        <w:ind w:firstLine="440"/>
        <w:rPr>
          <w:sz w:val="28"/>
          <w:szCs w:val="28"/>
        </w:rPr>
      </w:pPr>
      <w:r>
        <w:rPr>
          <w:rFonts w:ascii="方正黑体_GBK" w:hAnsi="方正黑体_GBK" w:eastAsia="方正黑体_GBK" w:cs="宋体"/>
          <w:sz w:val="22"/>
          <w:szCs w:val="24"/>
        </w:rPr>
        <w:t>3.非标准化债权类资产</w:t>
      </w:r>
    </w:p>
    <w:p w14:paraId="08AEF1AF">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3CADC0E1">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18D14AE9">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66D55F66">
      <w:pPr>
        <w:spacing w:line="240" w:lineRule="auto"/>
        <w:ind w:firstLine="440"/>
        <w:rPr>
          <w:sz w:val="28"/>
          <w:szCs w:val="28"/>
        </w:rPr>
      </w:pPr>
      <w:r>
        <w:rPr>
          <w:rFonts w:ascii="方正黑体_GBK" w:hAnsi="方正黑体_GBK" w:eastAsia="方正黑体_GBK" w:cs="宋体"/>
          <w:sz w:val="22"/>
          <w:szCs w:val="24"/>
        </w:rPr>
        <w:t>5.股权类及其他资产</w:t>
      </w:r>
    </w:p>
    <w:p w14:paraId="637E7A59">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0EA8AFFE">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4C60FC13">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635D7489">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219FF9A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15056712">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30644807">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5DEF60F1">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FFE6D9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4CFB2CC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1089EE18">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3D97A8A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0B5A4F6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5F9F039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5D89DE8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28FAC7F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5B462B5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2BD8EE9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260E521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64104B2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4CCEA30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4F90D88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4F6B42F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3DC4391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4C295973">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49879FDF">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F706A7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22CDE090">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6C6E8A1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4F8C8F4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59932B8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04551426">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3AC7C93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667ADF13">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632EC27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11B1A9B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510CF50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5BD2E08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0FC2024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3AEBD13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7E400A86">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0BF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F64FF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F64FF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2994">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D2220"/>
    <w:multiLevelType w:val="multilevel"/>
    <w:tmpl w:val="DD6D2220"/>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FFDA52F7"/>
    <w:multiLevelType w:val="multilevel"/>
    <w:tmpl w:val="FFDA52F7"/>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69E68EF8"/>
    <w:multiLevelType w:val="multilevel"/>
    <w:tmpl w:val="69E68EF8"/>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3">
    <w:nsid w:val="73FE2C36"/>
    <w:multiLevelType w:val="multilevel"/>
    <w:tmpl w:val="73FE2C36"/>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7FBC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2d0b4464"/>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05e8c397"/>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0b3563ee"/>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649e7f4e"/>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7ea385c3"/>
    <w:uiPriority w:val="0"/>
  </w:style>
  <w:style w:type="paragraph" w:customStyle="1" w:styleId="20">
    <w:name w:val="toc 1f352a04e"/>
    <w:basedOn w:val="15"/>
    <w:next w:val="1"/>
    <w:autoRedefine/>
    <w:uiPriority w:val="0"/>
  </w:style>
  <w:style w:type="paragraph" w:customStyle="1" w:styleId="21">
    <w:name w:val="toc 293b01cca"/>
    <w:basedOn w:val="15"/>
    <w:next w:val="1"/>
    <w:autoRedefine/>
    <w:uiPriority w:val="0"/>
    <w:pPr>
      <w:ind w:left="420"/>
    </w:pPr>
  </w:style>
  <w:style w:type="paragraph" w:customStyle="1" w:styleId="22">
    <w:name w:val="toc 3963ccba6"/>
    <w:basedOn w:val="15"/>
    <w:next w:val="1"/>
    <w:autoRedefine/>
    <w:uiPriority w:val="0"/>
    <w:pPr>
      <w:ind w:left="840"/>
    </w:pPr>
  </w:style>
  <w:style w:type="paragraph" w:customStyle="1" w:styleId="23">
    <w:name w:val="toc 43cb36194"/>
    <w:basedOn w:val="15"/>
    <w:next w:val="1"/>
    <w:autoRedefine/>
    <w:uiPriority w:val="0"/>
    <w:pPr>
      <w:ind w:left="1260"/>
    </w:pPr>
  </w:style>
  <w:style w:type="paragraph" w:customStyle="1" w:styleId="24">
    <w:name w:val="toc 5fa971d47"/>
    <w:basedOn w:val="15"/>
    <w:next w:val="1"/>
    <w:autoRedefine/>
    <w:uiPriority w:val="0"/>
    <w:pPr>
      <w:ind w:left="1680"/>
    </w:pPr>
  </w:style>
  <w:style w:type="paragraph" w:customStyle="1" w:styleId="25">
    <w:name w:val="headerc503176c"/>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5d09dfbd"/>
    <w:basedOn w:val="15"/>
    <w:uiPriority w:val="0"/>
    <w:pPr>
      <w:tabs>
        <w:tab w:val="center" w:pos="4153"/>
        <w:tab w:val="right" w:pos="8307"/>
      </w:tabs>
      <w:adjustRightInd/>
      <w:snapToGrid w:val="0"/>
      <w:contextualSpacing w:val="0"/>
      <w:jc w:val="left"/>
    </w:pPr>
    <w:rPr>
      <w:sz w:val="18"/>
    </w:rPr>
  </w:style>
  <w:style w:type="character" w:customStyle="1" w:styleId="27">
    <w:name w:val="Strong793669fd"/>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8462c51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528c5e46"/>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e4ef275f"/>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90818c25"/>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b1904297"/>
    <w:uiPriority w:val="0"/>
  </w:style>
  <w:style w:type="paragraph" w:customStyle="1" w:styleId="34">
    <w:name w:val="Normal Indent5ccf31b5"/>
    <w:basedOn w:val="29"/>
    <w:uiPriority w:val="0"/>
    <w:pPr>
      <w:ind w:firstLine="200" w:firstLineChars="200"/>
    </w:pPr>
  </w:style>
  <w:style w:type="paragraph" w:customStyle="1" w:styleId="35">
    <w:name w:val="toc 545e3f261"/>
    <w:basedOn w:val="29"/>
    <w:next w:val="1"/>
    <w:uiPriority w:val="0"/>
    <w:pPr>
      <w:ind w:left="1680"/>
    </w:pPr>
  </w:style>
  <w:style w:type="paragraph" w:customStyle="1" w:styleId="36">
    <w:name w:val="toc 3d1df1c2b"/>
    <w:basedOn w:val="29"/>
    <w:next w:val="1"/>
    <w:uiPriority w:val="0"/>
    <w:pPr>
      <w:ind w:left="840"/>
    </w:pPr>
  </w:style>
  <w:style w:type="paragraph" w:customStyle="1" w:styleId="37">
    <w:name w:val="footercdf244c5"/>
    <w:basedOn w:val="29"/>
    <w:uiPriority w:val="0"/>
    <w:pPr>
      <w:tabs>
        <w:tab w:val="center" w:pos="4153"/>
        <w:tab w:val="right" w:pos="8307"/>
      </w:tabs>
      <w:adjustRightInd/>
      <w:snapToGrid w:val="0"/>
      <w:contextualSpacing w:val="0"/>
      <w:jc w:val="left"/>
    </w:pPr>
    <w:rPr>
      <w:sz w:val="18"/>
    </w:rPr>
  </w:style>
  <w:style w:type="paragraph" w:customStyle="1" w:styleId="38">
    <w:name w:val="header60a3598f"/>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45e04f2a"/>
    <w:basedOn w:val="29"/>
    <w:next w:val="1"/>
    <w:uiPriority w:val="0"/>
  </w:style>
  <w:style w:type="paragraph" w:customStyle="1" w:styleId="40">
    <w:name w:val="toc 40122f13e"/>
    <w:basedOn w:val="29"/>
    <w:next w:val="1"/>
    <w:uiPriority w:val="0"/>
    <w:pPr>
      <w:ind w:left="1260"/>
    </w:pPr>
  </w:style>
  <w:style w:type="paragraph" w:customStyle="1" w:styleId="41">
    <w:name w:val="toc 2ddd3606c"/>
    <w:basedOn w:val="29"/>
    <w:next w:val="1"/>
    <w:uiPriority w:val="0"/>
    <w:pPr>
      <w:ind w:left="420"/>
    </w:pPr>
  </w:style>
  <w:style w:type="paragraph" w:customStyle="1" w:styleId="42">
    <w:name w:val="Normal (Web)b3dc75a7"/>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8e02ed798e02ed79"/>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60505c8960505c89"/>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e1145eb3e1145eb3"/>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681656d3681656d3"/>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3945c0963945c096"/>
    <w:uiPriority w:val="0"/>
  </w:style>
  <w:style w:type="paragraph" w:customStyle="1" w:styleId="49">
    <w:name w:val="引文目录12647d6202647d620"/>
    <w:basedOn w:val="44"/>
    <w:next w:val="1"/>
    <w:uiPriority w:val="0"/>
    <w:pPr>
      <w:ind w:left="200" w:leftChars="200"/>
    </w:pPr>
  </w:style>
  <w:style w:type="paragraph" w:customStyle="1" w:styleId="50">
    <w:name w:val="toc 55238eb195238eb19"/>
    <w:basedOn w:val="44"/>
    <w:next w:val="1"/>
    <w:uiPriority w:val="0"/>
    <w:pPr>
      <w:ind w:left="1680"/>
    </w:pPr>
  </w:style>
  <w:style w:type="paragraph" w:customStyle="1" w:styleId="51">
    <w:name w:val="toc 3344118c3344118c3"/>
    <w:basedOn w:val="44"/>
    <w:next w:val="1"/>
    <w:uiPriority w:val="0"/>
    <w:pPr>
      <w:ind w:left="840"/>
    </w:pPr>
  </w:style>
  <w:style w:type="paragraph" w:customStyle="1" w:styleId="52">
    <w:name w:val="footer65da218765da2187"/>
    <w:basedOn w:val="44"/>
    <w:uiPriority w:val="0"/>
    <w:pPr>
      <w:tabs>
        <w:tab w:val="center" w:pos="4153"/>
        <w:tab w:val="right" w:pos="8307"/>
      </w:tabs>
      <w:adjustRightInd/>
      <w:snapToGrid w:val="0"/>
      <w:contextualSpacing w:val="0"/>
      <w:jc w:val="left"/>
    </w:pPr>
    <w:rPr>
      <w:sz w:val="18"/>
    </w:rPr>
  </w:style>
  <w:style w:type="paragraph" w:customStyle="1" w:styleId="53">
    <w:name w:val="header666b5750666b5750"/>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6f4b71ef6f4b71ef"/>
    <w:basedOn w:val="44"/>
    <w:next w:val="1"/>
    <w:uiPriority w:val="0"/>
  </w:style>
  <w:style w:type="paragraph" w:customStyle="1" w:styleId="55">
    <w:name w:val="toc 4556a22a5556a22a5"/>
    <w:basedOn w:val="44"/>
    <w:next w:val="1"/>
    <w:uiPriority w:val="0"/>
    <w:pPr>
      <w:ind w:left="1260"/>
    </w:pPr>
  </w:style>
  <w:style w:type="paragraph" w:customStyle="1" w:styleId="56">
    <w:name w:val="toc 2d25199b6d25199b6"/>
    <w:basedOn w:val="44"/>
    <w:next w:val="1"/>
    <w:uiPriority w:val="0"/>
    <w:pPr>
      <w:ind w:left="420"/>
    </w:pPr>
  </w:style>
  <w:style w:type="paragraph" w:customStyle="1" w:styleId="57">
    <w:name w:val="列出段落1222c482e222c482e"/>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39</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2026-05-09T15:43:02Z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