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D847F">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60A9FB53">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5D19C17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24CBD0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407ECE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18A2AF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62A1305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62BF05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w:t>
      </w:r>
      <w:bookmarkStart w:id="0" w:name="_GoBack"/>
      <w:bookmarkEnd w:id="0"/>
      <w:r>
        <w:rPr>
          <w:rFonts w:hint="eastAsia" w:ascii="方正黑体_GBK" w:hAnsi="方正黑体_GBK" w:eastAsia="方正黑体_GBK" w:cs="Times New Roman"/>
          <w:vanish w:val="0"/>
          <w:color w:val="3D3D3D"/>
          <w:kern w:val="0"/>
          <w:sz w:val="18"/>
          <w:szCs w:val="18"/>
        </w:rPr>
        <w:t>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6508AEE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5C2A13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0DCB899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59D828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44B0F72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0DF51A9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6F6211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7B8850F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1722269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7B34148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65DC4F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4623B8C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4613EE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50F99F3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2ECECE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312B3B2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2842A6F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6E05895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32D9211E">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6CD192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647B4253">
      <w:pPr>
        <w:spacing w:line="240" w:lineRule="auto"/>
        <w:rPr>
          <w:sz w:val="28"/>
          <w:szCs w:val="28"/>
        </w:rPr>
      </w:pPr>
      <w:r>
        <w:rPr>
          <w:rFonts w:ascii="方正黑体_GBK" w:hAnsi="方正黑体_GBK" w:eastAsia="方正黑体_GBK" w:cs="宋体"/>
          <w:b/>
          <w:sz w:val="18"/>
          <w:szCs w:val="24"/>
        </w:rPr>
        <w:t xml:space="preserve">    1.债券类资产投资风险</w:t>
      </w:r>
    </w:p>
    <w:p w14:paraId="54F35018">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08E1FD35">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74FCFC77">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32606821">
      <w:pPr>
        <w:spacing w:line="240" w:lineRule="auto"/>
        <w:rPr>
          <w:sz w:val="28"/>
          <w:szCs w:val="28"/>
        </w:rPr>
      </w:pPr>
      <w:r>
        <w:rPr>
          <w:rFonts w:ascii="方正黑体_GBK" w:hAnsi="方正黑体_GBK" w:eastAsia="方正黑体_GBK" w:cs="宋体"/>
          <w:b/>
          <w:sz w:val="18"/>
          <w:szCs w:val="24"/>
        </w:rPr>
        <w:t xml:space="preserve">    3.资产管理产品投资风险</w:t>
      </w:r>
    </w:p>
    <w:p w14:paraId="47F65544">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2E1067EC">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554C5348">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29B829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5C0A6B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99天</w:t>
      </w:r>
      <w:r>
        <w:rPr>
          <w:rFonts w:hint="eastAsia" w:ascii="方正黑体_GBK" w:hAnsi="方正黑体_GBK" w:eastAsia="方正黑体_GBK"/>
          <w:b/>
          <w:bCs w:val="0"/>
          <w:vanish w:val="0"/>
          <w:color w:val="3D3D3D"/>
          <w:kern w:val="0"/>
          <w:sz w:val="18"/>
          <w:szCs w:val="18"/>
        </w:rPr>
        <w:t>。</w:t>
      </w:r>
    </w:p>
    <w:p w14:paraId="406A7357">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07951095">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3EFFCC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5083C98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11428D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5045016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0A458D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03D5B69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46BF4C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0E1EBFF2">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595E3A8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78391A5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2463E8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06CB0393">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0673FEDF">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7565793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7AB959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134B80FF">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064C1FA8">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0F3C2FE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5114664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672967F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0B4B5AC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1D51ED0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29550D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794FE987">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F0A5C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15969C28">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4BC0B05">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50EBF1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372ED34">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3EEA2D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69559B23">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EE542C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945DC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29C34A1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5D4B75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669637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0B6AAA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2ED82338">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01E9BE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33DE09C4">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BE5BE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4890BA82">
      <w:pPr>
        <w:spacing w:line="240" w:lineRule="auto"/>
        <w:rPr>
          <w:sz w:val="28"/>
          <w:szCs w:val="28"/>
        </w:rPr>
      </w:pPr>
      <w:r>
        <w:rPr>
          <w:rFonts w:ascii="方正黑体_GBK" w:hAnsi="方正黑体_GBK" w:eastAsia="方正黑体_GBK"/>
          <w:sz w:val="28"/>
          <w:szCs w:val="28"/>
        </w:rPr>
        <w:br w:type="page"/>
      </w:r>
    </w:p>
    <w:p w14:paraId="1A800FC8">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0EB626DF">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03241509">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3E718CA3">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3693CA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0EFE2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南银理财珠联璧合鑫逸稳三个月134期封闭式公募人民币理财产品</w:t>
            </w:r>
          </w:p>
        </w:tc>
      </w:tr>
      <w:tr w14:paraId="6D01D8E5">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1654B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64E6A6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35B92163">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0171F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5B08D0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5EB3F94D">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1066D6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642F78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ZZ700322600138</w:t>
            </w:r>
          </w:p>
        </w:tc>
      </w:tr>
      <w:tr w14:paraId="62D7E8B4">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61F5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3E07B9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Z7003226000143(投资者可依据该编码在中国理财网www.chinawealth.com.cn查询理财产品相关信息）</w:t>
            </w:r>
          </w:p>
        </w:tc>
      </w:tr>
      <w:tr w14:paraId="12D59513">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D660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2B505523">
            <w:pPr>
              <w:spacing w:line="240" w:lineRule="auto"/>
              <w:rPr>
                <w:sz w:val="28"/>
                <w:szCs w:val="28"/>
              </w:rPr>
            </w:pPr>
            <w:r>
              <w:rPr>
                <w:rFonts w:ascii="方正黑体_GBK" w:hAnsi="方正黑体_GBK" w:eastAsia="方正黑体_GBK" w:cs="宋体"/>
                <w:sz w:val="22"/>
                <w:szCs w:val="22"/>
              </w:rPr>
              <w:t>A份额：NYXY000843</w:t>
            </w:r>
          </w:p>
          <w:p w14:paraId="550B07B4">
            <w:pPr>
              <w:spacing w:line="240" w:lineRule="auto"/>
              <w:rPr>
                <w:sz w:val="28"/>
                <w:szCs w:val="28"/>
              </w:rPr>
            </w:pPr>
            <w:r>
              <w:rPr>
                <w:rFonts w:ascii="方正黑体_GBK" w:hAnsi="方正黑体_GBK" w:eastAsia="方正黑体_GBK" w:cs="宋体"/>
                <w:sz w:val="22"/>
                <w:szCs w:val="22"/>
              </w:rPr>
              <w:t>B份额：NYXY000844</w:t>
            </w:r>
          </w:p>
          <w:p w14:paraId="0057835F">
            <w:pPr>
              <w:spacing w:line="240" w:lineRule="auto"/>
              <w:rPr>
                <w:sz w:val="28"/>
                <w:szCs w:val="28"/>
              </w:rPr>
            </w:pPr>
            <w:r>
              <w:rPr>
                <w:rFonts w:ascii="方正黑体_GBK" w:hAnsi="方正黑体_GBK" w:eastAsia="方正黑体_GBK" w:cs="宋体"/>
                <w:sz w:val="22"/>
                <w:szCs w:val="22"/>
              </w:rPr>
              <w:t>C份额：NYXY000845</w:t>
            </w:r>
          </w:p>
          <w:p w14:paraId="2899F0BA">
            <w:pPr>
              <w:spacing w:line="240" w:lineRule="auto"/>
              <w:rPr>
                <w:sz w:val="28"/>
                <w:szCs w:val="28"/>
              </w:rPr>
            </w:pPr>
            <w:r>
              <w:rPr>
                <w:rFonts w:ascii="方正黑体_GBK" w:hAnsi="方正黑体_GBK" w:eastAsia="方正黑体_GBK" w:cs="宋体"/>
                <w:sz w:val="22"/>
                <w:szCs w:val="22"/>
              </w:rPr>
              <w:t>E份额：NYXY000846</w:t>
            </w:r>
          </w:p>
          <w:p w14:paraId="5719C349">
            <w:pPr>
              <w:spacing w:line="240" w:lineRule="auto"/>
              <w:rPr>
                <w:sz w:val="28"/>
                <w:szCs w:val="28"/>
              </w:rPr>
            </w:pPr>
            <w:r>
              <w:rPr>
                <w:rFonts w:ascii="方正黑体_GBK" w:hAnsi="方正黑体_GBK" w:eastAsia="方正黑体_GBK" w:cs="宋体"/>
                <w:sz w:val="22"/>
                <w:szCs w:val="22"/>
              </w:rPr>
              <w:t>J份额：NYXY000847</w:t>
            </w:r>
          </w:p>
          <w:p w14:paraId="2C7A8ECD">
            <w:pPr>
              <w:spacing w:line="240" w:lineRule="auto"/>
              <w:rPr>
                <w:sz w:val="28"/>
                <w:szCs w:val="28"/>
              </w:rPr>
            </w:pPr>
            <w:r>
              <w:rPr>
                <w:rFonts w:ascii="方正黑体_GBK" w:hAnsi="方正黑体_GBK" w:eastAsia="方正黑体_GBK" w:cs="宋体"/>
                <w:sz w:val="22"/>
                <w:szCs w:val="22"/>
              </w:rPr>
              <w:t>K份额：NYXY000848</w:t>
            </w:r>
          </w:p>
          <w:p w14:paraId="16DBF081">
            <w:pPr>
              <w:spacing w:line="240" w:lineRule="auto"/>
              <w:rPr>
                <w:sz w:val="28"/>
                <w:szCs w:val="28"/>
              </w:rPr>
            </w:pPr>
            <w:r>
              <w:rPr>
                <w:rFonts w:ascii="方正黑体_GBK" w:hAnsi="方正黑体_GBK" w:eastAsia="方正黑体_GBK" w:cs="宋体"/>
                <w:sz w:val="22"/>
                <w:szCs w:val="22"/>
              </w:rPr>
              <w:t>L份额：NYXY000849</w:t>
            </w:r>
          </w:p>
          <w:p w14:paraId="31CD284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182EE47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A278F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5E5E24CA">
            <w:pPr>
              <w:spacing w:line="240" w:lineRule="auto"/>
              <w:rPr>
                <w:sz w:val="28"/>
                <w:szCs w:val="28"/>
              </w:rPr>
            </w:pPr>
            <w:r>
              <w:rPr>
                <w:rFonts w:ascii="方正黑体_GBK" w:hAnsi="方正黑体_GBK" w:eastAsia="方正黑体_GBK" w:cs="宋体"/>
                <w:sz w:val="22"/>
                <w:szCs w:val="22"/>
              </w:rPr>
              <w:t>全国</w:t>
            </w:r>
          </w:p>
        </w:tc>
      </w:tr>
      <w:tr w14:paraId="2B652EAC">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718C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0082B53D">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0355BEB8">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9729A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2B2081C3">
            <w:pPr>
              <w:spacing w:line="240" w:lineRule="auto"/>
              <w:rPr>
                <w:sz w:val="28"/>
                <w:szCs w:val="28"/>
              </w:rPr>
            </w:pPr>
            <w:r>
              <w:rPr>
                <w:rFonts w:ascii="方正黑体_GBK" w:hAnsi="方正黑体_GBK" w:eastAsia="方正黑体_GBK" w:cs="宋体"/>
                <w:sz w:val="22"/>
                <w:szCs w:val="22"/>
              </w:rPr>
              <w:t>本理财产品规模上限为100亿元。</w:t>
            </w:r>
          </w:p>
        </w:tc>
      </w:tr>
      <w:tr w14:paraId="048420B8">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3675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397FF028">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2FAD9FA8">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1335D7A9">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5512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3EE8C77E">
            <w:pPr>
              <w:spacing w:line="240" w:lineRule="auto"/>
              <w:rPr>
                <w:sz w:val="28"/>
                <w:szCs w:val="28"/>
              </w:rPr>
            </w:pPr>
            <w:r>
              <w:rPr>
                <w:rFonts w:ascii="方正黑体_GBK" w:hAnsi="方正黑体_GBK" w:eastAsia="方正黑体_GBK" w:cs="宋体"/>
                <w:color w:val="000000"/>
                <w:sz w:val="22"/>
                <w:szCs w:val="22"/>
              </w:rPr>
              <w:t>符合相关法律法规、监管规定要求的，经销售机构的风险承受能力评估体系评定为适合的个人和机构投资者。</w:t>
            </w:r>
          </w:p>
          <w:p w14:paraId="68E74EE1">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及对公客户外的其他客户）、青岛银行股份有限公司（除私行客户外的其他客户）、江苏张家港农村商业银行股份有限公司、河北银行股份有限公司（除分行财富客户外的其他客户）、嘉兴银行股份有限公司、江苏常熟农村商业银行股份有限公司、江苏苏州农村商业银行股份有限公司、金华银行股份有限公司、江苏江南农村商业银行股份有限公司（除财富、代发薪客户和新资金客户外的其他客户）、苏州银行股份有限公司、蒙商银行股份有限公司（除财富客户外的其他客户）、广州农村商业银行股份有限公司、长安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和私钻客户外的其他客户)、山西银行股份有限公司、德州银行股份有限公司、云南红塔银行股份有限公司、海南银行股份有限公司、乌鲁木齐银行股份有限公司、上海农村商业银行股份有限公司、湖州银行股份有限公司（除代发客户外的其他客户）、宁波通商银行股份有限公司、石嘴山银行股份有限公司、永丰银行（中国）有限公司、无锡锡商银行股份有限公司、江苏丹阳农村商业银行股份有限公司、江苏宜兴农村商业银行股份有限公司、江苏高淳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淮安农村商业银行股份有限公司、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东海农村商业银行股份有限公司、江苏泗阳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江苏昆山农村商业银行股份有限公司、朝阳银行股份有限公司。</w:t>
            </w:r>
          </w:p>
          <w:p w14:paraId="10EBFA3E">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温州银行股份有限公司、浙江民泰商业银行股份有限公司、河北银行股份有限公司(分行财富客户)、广州银行股份有限公司、江苏江南农村商业银行股份有限公司(财富客户)、秦皇岛银行股份有限公司、宁波东海银行股份有限公司、齐鲁银行股份有限公司(白金/私行客户)、天津农村商业银行股份有限公司(企业拓展客户)、甘肃银行股份有限公司(除财富客户外的其他客户)、东营银行股份有限公司、桂林银行股份有限公司、江苏江都农村商业银行股份有限公司、江苏大丰农村商业银行股份有限公司、江苏镇江农村商业银行股份有限公司(20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湖州银行股份有限公司(代发工资客户)。</w:t>
            </w:r>
          </w:p>
          <w:p w14:paraId="0447CC8F">
            <w:pPr>
              <w:spacing w:line="240" w:lineRule="auto"/>
              <w:rPr>
                <w:sz w:val="28"/>
                <w:szCs w:val="28"/>
              </w:rPr>
            </w:pPr>
            <w:r>
              <w:rPr>
                <w:rFonts w:ascii="方正黑体_GBK" w:hAnsi="方正黑体_GBK" w:eastAsia="方正黑体_GBK" w:cs="宋体"/>
                <w:sz w:val="22"/>
                <w:szCs w:val="22"/>
              </w:rPr>
              <w:t>C份额：江苏江南农村商业银行股份有限公司(代发薪客户和新资金客户)、蒙商银行股份有限公司（财富客户）、郑州银行股份有限公司、泰安银行股份有限公司、齐鲁银行股份有限公司(财富客户)、哈密市商业银行股份有限公司、天津农村商业银行股份有限公司(个人新客)、甘肃银行股份有限公司(财富客户)、江苏泰兴农村商业银行股份有限公司、江苏响水农村商业银行股份有限公司(50万元起购)、江苏靖江农村商业银行股份有限公司、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 10万元起购)、江苏仪征农村商业银行股份有限公司( 50万元起购)。</w:t>
            </w:r>
          </w:p>
          <w:p w14:paraId="396589FA">
            <w:pPr>
              <w:spacing w:line="240" w:lineRule="auto"/>
              <w:rPr>
                <w:sz w:val="28"/>
                <w:szCs w:val="28"/>
              </w:rPr>
            </w:pPr>
            <w:r>
              <w:rPr>
                <w:rFonts w:ascii="方正黑体_GBK" w:hAnsi="方正黑体_GBK" w:eastAsia="方正黑体_GBK" w:cs="宋体"/>
                <w:sz w:val="22"/>
                <w:szCs w:val="22"/>
              </w:rPr>
              <w:t>E份额：南京银行股份有限公司（对公客户）。</w:t>
            </w:r>
          </w:p>
          <w:p w14:paraId="67E2D06E">
            <w:pPr>
              <w:spacing w:line="240" w:lineRule="auto"/>
              <w:rPr>
                <w:sz w:val="28"/>
                <w:szCs w:val="28"/>
              </w:rPr>
            </w:pPr>
            <w:r>
              <w:rPr>
                <w:rFonts w:ascii="方正黑体_GBK" w:hAnsi="方正黑体_GBK" w:eastAsia="方正黑体_GBK" w:cs="宋体"/>
                <w:sz w:val="22"/>
                <w:szCs w:val="22"/>
              </w:rPr>
              <w:t>J份额：昆山鹿城村镇银行股份有限公司。</w:t>
            </w:r>
          </w:p>
          <w:p w14:paraId="56A03848">
            <w:pPr>
              <w:spacing w:line="240" w:lineRule="auto"/>
              <w:rPr>
                <w:sz w:val="28"/>
                <w:szCs w:val="28"/>
              </w:rPr>
            </w:pPr>
            <w:r>
              <w:rPr>
                <w:rFonts w:ascii="方正黑体_GBK" w:hAnsi="方正黑体_GBK" w:eastAsia="方正黑体_GBK" w:cs="宋体"/>
                <w:sz w:val="22"/>
                <w:szCs w:val="22"/>
              </w:rPr>
              <w:t>K份额：吉林银行股份有限公司。</w:t>
            </w:r>
          </w:p>
          <w:p w14:paraId="737079FC">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76196C3D">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4E2017F4">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33161CE5">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17B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03732039">
            <w:pPr>
              <w:spacing w:line="240" w:lineRule="auto"/>
              <w:rPr>
                <w:sz w:val="28"/>
                <w:szCs w:val="28"/>
              </w:rPr>
            </w:pPr>
            <w:r>
              <w:rPr>
                <w:rFonts w:ascii="方正黑体_GBK" w:hAnsi="方正黑体_GBK" w:eastAsia="方正黑体_GBK" w:cs="宋体"/>
                <w:sz w:val="22"/>
                <w:szCs w:val="22"/>
              </w:rPr>
              <w:t>A份额/B份额/C份额/J份额/K份额/L份额：</w:t>
            </w:r>
          </w:p>
          <w:p w14:paraId="29431DBC">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6A57B48B">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p w14:paraId="394503EE">
            <w:pPr>
              <w:spacing w:line="240" w:lineRule="auto"/>
              <w:rPr>
                <w:sz w:val="28"/>
                <w:szCs w:val="28"/>
              </w:rPr>
            </w:pPr>
            <w:r>
              <w:rPr>
                <w:rFonts w:ascii="方正黑体_GBK" w:hAnsi="方正黑体_GBK" w:eastAsia="方正黑体_GBK" w:cs="宋体"/>
                <w:sz w:val="22"/>
                <w:szCs w:val="22"/>
              </w:rPr>
              <w:t>E份额：</w:t>
            </w:r>
          </w:p>
          <w:p w14:paraId="6D73091E">
            <w:pPr>
              <w:spacing w:line="240" w:lineRule="auto"/>
              <w:rPr>
                <w:sz w:val="28"/>
                <w:szCs w:val="28"/>
              </w:rPr>
            </w:pPr>
            <w:r>
              <w:rPr>
                <w:rFonts w:ascii="方正黑体_GBK" w:hAnsi="方正黑体_GBK" w:eastAsia="方正黑体_GBK" w:cs="宋体"/>
                <w:sz w:val="22"/>
                <w:szCs w:val="22"/>
              </w:rPr>
              <w:t>机构投资者投资起点金额100万元人民币，以1元的整数倍递增；</w:t>
            </w:r>
          </w:p>
        </w:tc>
      </w:tr>
      <w:tr w14:paraId="5325F58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76EC8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519C6AF9">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005F2B7F">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6CD0C7B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F4CA7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50D1A4F7">
            <w:pPr>
              <w:spacing w:line="240" w:lineRule="auto"/>
              <w:rPr>
                <w:sz w:val="28"/>
                <w:szCs w:val="28"/>
              </w:rPr>
            </w:pPr>
            <w:r>
              <w:rPr>
                <w:rFonts w:ascii="方正黑体_GBK" w:hAnsi="方正黑体_GBK" w:eastAsia="方正黑体_GBK" w:cs="宋体"/>
                <w:color w:val="000000"/>
                <w:sz w:val="22"/>
                <w:szCs w:val="22"/>
              </w:rPr>
              <w:t>2026年05月13日 09:00—2026年05月19日 17:00</w:t>
            </w:r>
          </w:p>
        </w:tc>
      </w:tr>
      <w:tr w14:paraId="4F0E254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F2DEDA6">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6780ACF6">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26AD8755">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0467B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432EC113">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74CC53C8">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50FE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20023DB1">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2026年05月20日</w:t>
            </w:r>
          </w:p>
        </w:tc>
      </w:tr>
      <w:tr w14:paraId="4761F74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DD6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77D5C7EA">
            <w:pPr>
              <w:spacing w:line="240" w:lineRule="auto"/>
              <w:rPr>
                <w:sz w:val="28"/>
                <w:szCs w:val="28"/>
              </w:rPr>
            </w:pPr>
            <w:r>
              <w:rPr>
                <w:rFonts w:ascii="方正黑体_GBK" w:hAnsi="方正黑体_GBK" w:eastAsia="方正黑体_GBK" w:cs="宋体"/>
                <w:sz w:val="22"/>
                <w:szCs w:val="22"/>
              </w:rPr>
              <w:t>2026年05月20日—实际到期日（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23792236">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31CE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4BECEF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2026年08月27日</w:t>
            </w:r>
          </w:p>
        </w:tc>
      </w:tr>
      <w:tr w14:paraId="6F18F56C">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5FBF3C4">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D2D3B28">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42F7569A">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5835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36BD2E46">
            <w:pPr>
              <w:spacing w:line="240" w:lineRule="auto"/>
              <w:rPr>
                <w:sz w:val="28"/>
                <w:szCs w:val="28"/>
              </w:rPr>
            </w:pPr>
            <w:r>
              <w:rPr>
                <w:rFonts w:ascii="方正黑体_GBK" w:hAnsi="方正黑体_GBK" w:eastAsia="方正黑体_GBK" w:cs="宋体"/>
                <w:sz w:val="22"/>
                <w:szCs w:val="22"/>
              </w:rPr>
              <w:t>本理财产品存续期间不进行分红。</w:t>
            </w:r>
          </w:p>
          <w:p w14:paraId="57DCFDB9">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6E2FC966">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66AC9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5D714F3D">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109FF71F">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25DF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0F2C1850">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4D6CEA99">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1818F63A">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31DC0D68">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19FCDF0C">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7722DCE1">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57C43584">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C37F6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78E8C8DF">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3845DE6D">
            <w:pPr>
              <w:spacing w:line="240" w:lineRule="auto"/>
              <w:rPr>
                <w:sz w:val="28"/>
                <w:szCs w:val="28"/>
              </w:rPr>
            </w:pPr>
            <w:r>
              <w:rPr>
                <w:rFonts w:ascii="方正黑体_GBK" w:hAnsi="方正黑体_GBK" w:eastAsia="方正黑体_GBK" w:cs="宋体"/>
                <w:b/>
                <w:color w:val="000000"/>
                <w:sz w:val="22"/>
                <w:szCs w:val="22"/>
                <w:shd w:val="clear" w:fill="FAFAFA"/>
              </w:rPr>
              <w:t>注：非因管理人主观因素导致突破上述比例限制的，管理人将在流动性受限资产可出售、可转让或者恢复交易的15个交易日内将投资比例调整至符合说明书约定的范围。</w:t>
            </w:r>
          </w:p>
        </w:tc>
      </w:tr>
      <w:tr w14:paraId="7697E502">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0E30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483CE531">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3ADE8747">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8099124">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4CFB9A86">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51C68EFD">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74FD5A16">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448744C8">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7A274509">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41E79BFA">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2CB210AA">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3FEC9C96">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2041295A">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58D5B56F">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71905028">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1CD70C17">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54832C5A">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2E2AE83B">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79316E57">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336335CD">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50F71C40">
            <w:pPr>
              <w:spacing w:line="240" w:lineRule="auto"/>
              <w:rPr>
                <w:sz w:val="28"/>
                <w:szCs w:val="28"/>
              </w:rPr>
            </w:pPr>
            <w:r>
              <w:rPr>
                <w:rFonts w:ascii="方正黑体_GBK" w:hAnsi="方正黑体_GBK" w:eastAsia="方正黑体_GBK" w:cs="宋体"/>
                <w:b/>
                <w:sz w:val="22"/>
                <w:szCs w:val="22"/>
              </w:rPr>
              <w:t>以上资产剩余期限均不超过产品期限。</w:t>
            </w:r>
          </w:p>
          <w:p w14:paraId="6ECFD198">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2DF9AA2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FCB1F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3FB707A7">
            <w:pPr>
              <w:spacing w:line="240" w:lineRule="auto"/>
              <w:rPr>
                <w:sz w:val="28"/>
                <w:szCs w:val="28"/>
              </w:rPr>
            </w:pPr>
            <w:r>
              <w:rPr>
                <w:rFonts w:ascii="方正黑体_GBK" w:hAnsi="方正黑体_GBK" w:eastAsia="方正黑体_GBK" w:cs="宋体"/>
                <w:sz w:val="22"/>
                <w:szCs w:val="22"/>
              </w:rPr>
              <w:t>A份额：业绩比较基准为1.5%(年化)。</w:t>
            </w:r>
          </w:p>
          <w:p w14:paraId="1E2BB388">
            <w:pPr>
              <w:spacing w:line="240" w:lineRule="auto"/>
              <w:rPr>
                <w:sz w:val="28"/>
                <w:szCs w:val="28"/>
              </w:rPr>
            </w:pPr>
            <w:r>
              <w:rPr>
                <w:rFonts w:ascii="方正黑体_GBK" w:hAnsi="方正黑体_GBK" w:eastAsia="方正黑体_GBK" w:cs="宋体"/>
                <w:sz w:val="22"/>
                <w:szCs w:val="22"/>
              </w:rPr>
              <w:t>B份额：业绩比较基准为1.6%(年化)。</w:t>
            </w:r>
          </w:p>
          <w:p w14:paraId="1B927D20">
            <w:pPr>
              <w:spacing w:line="240" w:lineRule="auto"/>
              <w:rPr>
                <w:sz w:val="28"/>
                <w:szCs w:val="28"/>
              </w:rPr>
            </w:pPr>
            <w:r>
              <w:rPr>
                <w:rFonts w:ascii="方正黑体_GBK" w:hAnsi="方正黑体_GBK" w:eastAsia="方正黑体_GBK" w:cs="宋体"/>
                <w:sz w:val="22"/>
                <w:szCs w:val="22"/>
              </w:rPr>
              <w:t>C份额：业绩比较基准为1.7%(年化)。</w:t>
            </w:r>
          </w:p>
          <w:p w14:paraId="62CF0E22">
            <w:pPr>
              <w:spacing w:line="240" w:lineRule="auto"/>
              <w:rPr>
                <w:sz w:val="28"/>
                <w:szCs w:val="28"/>
              </w:rPr>
            </w:pPr>
            <w:r>
              <w:rPr>
                <w:rFonts w:ascii="方正黑体_GBK" w:hAnsi="方正黑体_GBK" w:eastAsia="方正黑体_GBK" w:cs="宋体"/>
                <w:sz w:val="22"/>
                <w:szCs w:val="22"/>
              </w:rPr>
              <w:t>E份额：业绩比较基准为1.65%(年化)。</w:t>
            </w:r>
          </w:p>
          <w:p w14:paraId="11BC4A09">
            <w:pPr>
              <w:spacing w:line="240" w:lineRule="auto"/>
              <w:rPr>
                <w:sz w:val="28"/>
                <w:szCs w:val="28"/>
              </w:rPr>
            </w:pPr>
            <w:r>
              <w:rPr>
                <w:rFonts w:ascii="方正黑体_GBK" w:hAnsi="方正黑体_GBK" w:eastAsia="方正黑体_GBK" w:cs="宋体"/>
                <w:sz w:val="22"/>
                <w:szCs w:val="22"/>
              </w:rPr>
              <w:t>J份额：业绩比较基准为1.5%(年化)。</w:t>
            </w:r>
          </w:p>
          <w:p w14:paraId="3C318A88">
            <w:pPr>
              <w:spacing w:line="240" w:lineRule="auto"/>
              <w:rPr>
                <w:sz w:val="28"/>
                <w:szCs w:val="28"/>
              </w:rPr>
            </w:pPr>
            <w:r>
              <w:rPr>
                <w:rFonts w:ascii="方正黑体_GBK" w:hAnsi="方正黑体_GBK" w:eastAsia="方正黑体_GBK" w:cs="宋体"/>
                <w:sz w:val="22"/>
                <w:szCs w:val="22"/>
              </w:rPr>
              <w:t>K份额：业绩比较基准为1.75%(年化)。</w:t>
            </w:r>
          </w:p>
          <w:p w14:paraId="40738929">
            <w:pPr>
              <w:spacing w:line="240" w:lineRule="auto"/>
              <w:rPr>
                <w:sz w:val="28"/>
                <w:szCs w:val="28"/>
              </w:rPr>
            </w:pPr>
            <w:r>
              <w:rPr>
                <w:rFonts w:ascii="方正黑体_GBK" w:hAnsi="方正黑体_GBK" w:eastAsia="方正黑体_GBK" w:cs="宋体"/>
                <w:sz w:val="22"/>
                <w:szCs w:val="22"/>
              </w:rPr>
              <w:t>L份额：业绩比较基准为1.75%(年化)。</w:t>
            </w:r>
          </w:p>
          <w:p w14:paraId="7B4B3918">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13147932">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2B6EEB1F">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54F6E23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0D27015">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7C4E97D2">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58C67A60">
            <w:pPr>
              <w:spacing w:line="240" w:lineRule="auto"/>
              <w:rPr>
                <w:sz w:val="28"/>
                <w:szCs w:val="28"/>
              </w:rPr>
            </w:pPr>
            <w:r>
              <w:rPr>
                <w:rFonts w:ascii="方正黑体_GBK" w:hAnsi="方正黑体_GBK" w:eastAsia="方正黑体_GBK" w:cs="宋体"/>
                <w:b/>
                <w:sz w:val="22"/>
                <w:szCs w:val="22"/>
              </w:rPr>
              <w:t>赎回费：本理财产品暂不收取赎回费。</w:t>
            </w:r>
          </w:p>
          <w:p w14:paraId="6B03AB7A">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62BAB6C6">
            <w:pPr>
              <w:spacing w:line="240" w:lineRule="auto"/>
              <w:rPr>
                <w:sz w:val="28"/>
                <w:szCs w:val="28"/>
              </w:rPr>
            </w:pPr>
            <w:r>
              <w:rPr>
                <w:rFonts w:ascii="方正黑体_GBK" w:hAnsi="方正黑体_GBK" w:eastAsia="方正黑体_GBK" w:cs="宋体"/>
                <w:b/>
                <w:sz w:val="22"/>
                <w:szCs w:val="22"/>
              </w:rPr>
              <w:t>A份额：销售费年化0.2%</w:t>
            </w:r>
          </w:p>
          <w:p w14:paraId="16E69632">
            <w:pPr>
              <w:spacing w:line="240" w:lineRule="auto"/>
              <w:rPr>
                <w:sz w:val="28"/>
                <w:szCs w:val="28"/>
              </w:rPr>
            </w:pPr>
            <w:r>
              <w:rPr>
                <w:rFonts w:ascii="方正黑体_GBK" w:hAnsi="方正黑体_GBK" w:eastAsia="方正黑体_GBK" w:cs="宋体"/>
                <w:b/>
                <w:sz w:val="22"/>
                <w:szCs w:val="22"/>
              </w:rPr>
              <w:t>B份额：销售费年化0.15%</w:t>
            </w:r>
          </w:p>
          <w:p w14:paraId="36D48EB3">
            <w:pPr>
              <w:spacing w:line="240" w:lineRule="auto"/>
              <w:rPr>
                <w:sz w:val="28"/>
                <w:szCs w:val="28"/>
              </w:rPr>
            </w:pPr>
            <w:r>
              <w:rPr>
                <w:rFonts w:ascii="方正黑体_GBK" w:hAnsi="方正黑体_GBK" w:eastAsia="方正黑体_GBK" w:cs="宋体"/>
                <w:b/>
                <w:sz w:val="22"/>
                <w:szCs w:val="22"/>
              </w:rPr>
              <w:t>C份额：销售费年化0.05%</w:t>
            </w:r>
          </w:p>
          <w:p w14:paraId="01419AE5">
            <w:pPr>
              <w:spacing w:line="240" w:lineRule="auto"/>
              <w:rPr>
                <w:sz w:val="28"/>
                <w:szCs w:val="28"/>
              </w:rPr>
            </w:pPr>
            <w:r>
              <w:rPr>
                <w:rFonts w:ascii="方正黑体_GBK" w:hAnsi="方正黑体_GBK" w:eastAsia="方正黑体_GBK" w:cs="宋体"/>
                <w:b/>
                <w:sz w:val="22"/>
                <w:szCs w:val="22"/>
              </w:rPr>
              <w:t>E份额：销售费年化0.1%</w:t>
            </w:r>
          </w:p>
          <w:p w14:paraId="2414D4E6">
            <w:pPr>
              <w:spacing w:line="240" w:lineRule="auto"/>
              <w:rPr>
                <w:sz w:val="28"/>
                <w:szCs w:val="28"/>
              </w:rPr>
            </w:pPr>
            <w:r>
              <w:rPr>
                <w:rFonts w:ascii="方正黑体_GBK" w:hAnsi="方正黑体_GBK" w:eastAsia="方正黑体_GBK" w:cs="宋体"/>
                <w:b/>
                <w:sz w:val="22"/>
                <w:szCs w:val="22"/>
              </w:rPr>
              <w:t>J份额：销售费年化0.2%</w:t>
            </w:r>
          </w:p>
          <w:p w14:paraId="62D58BDD">
            <w:pPr>
              <w:spacing w:line="240" w:lineRule="auto"/>
              <w:rPr>
                <w:sz w:val="28"/>
                <w:szCs w:val="28"/>
              </w:rPr>
            </w:pPr>
            <w:r>
              <w:rPr>
                <w:rFonts w:ascii="方正黑体_GBK" w:hAnsi="方正黑体_GBK" w:eastAsia="方正黑体_GBK" w:cs="宋体"/>
                <w:b/>
                <w:sz w:val="22"/>
                <w:szCs w:val="22"/>
              </w:rPr>
              <w:t>K份额：销售费年化0.05%</w:t>
            </w:r>
          </w:p>
          <w:p w14:paraId="3B93F709">
            <w:pPr>
              <w:spacing w:line="240" w:lineRule="auto"/>
              <w:rPr>
                <w:sz w:val="28"/>
                <w:szCs w:val="28"/>
              </w:rPr>
            </w:pPr>
            <w:r>
              <w:rPr>
                <w:rFonts w:ascii="方正黑体_GBK" w:hAnsi="方正黑体_GBK" w:eastAsia="方正黑体_GBK" w:cs="宋体"/>
                <w:b/>
                <w:sz w:val="22"/>
                <w:szCs w:val="22"/>
              </w:rPr>
              <w:t>L份额：销售费年化0.05%</w:t>
            </w:r>
          </w:p>
          <w:p w14:paraId="1ACD6F5D">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FBD1A00">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76843677">
            <w:pPr>
              <w:spacing w:line="240" w:lineRule="auto"/>
              <w:rPr>
                <w:sz w:val="28"/>
                <w:szCs w:val="28"/>
              </w:rPr>
            </w:pPr>
            <w:r>
              <w:rPr>
                <w:rFonts w:ascii="方正黑体_GBK" w:hAnsi="方正黑体_GBK" w:eastAsia="方正黑体_GBK" w:cs="宋体"/>
                <w:b/>
                <w:sz w:val="22"/>
                <w:szCs w:val="22"/>
              </w:rPr>
              <w:t>A份额：固定管理费年化0.15%</w:t>
            </w:r>
          </w:p>
          <w:p w14:paraId="3E9A00E8">
            <w:pPr>
              <w:spacing w:line="240" w:lineRule="auto"/>
              <w:rPr>
                <w:sz w:val="28"/>
                <w:szCs w:val="28"/>
              </w:rPr>
            </w:pPr>
            <w:r>
              <w:rPr>
                <w:rFonts w:ascii="方正黑体_GBK" w:hAnsi="方正黑体_GBK" w:eastAsia="方正黑体_GBK" w:cs="宋体"/>
                <w:b/>
                <w:sz w:val="22"/>
                <w:szCs w:val="22"/>
              </w:rPr>
              <w:t>B份额：固定管理费年化0.1%</w:t>
            </w:r>
          </w:p>
          <w:p w14:paraId="405CF38B">
            <w:pPr>
              <w:spacing w:line="240" w:lineRule="auto"/>
              <w:rPr>
                <w:sz w:val="28"/>
                <w:szCs w:val="28"/>
              </w:rPr>
            </w:pPr>
            <w:r>
              <w:rPr>
                <w:rFonts w:ascii="方正黑体_GBK" w:hAnsi="方正黑体_GBK" w:eastAsia="方正黑体_GBK" w:cs="宋体"/>
                <w:b/>
                <w:sz w:val="22"/>
                <w:szCs w:val="22"/>
              </w:rPr>
              <w:t>C份额：固定管理费年化0.1%</w:t>
            </w:r>
          </w:p>
          <w:p w14:paraId="43E9D399">
            <w:pPr>
              <w:spacing w:line="240" w:lineRule="auto"/>
              <w:rPr>
                <w:sz w:val="28"/>
                <w:szCs w:val="28"/>
              </w:rPr>
            </w:pPr>
            <w:r>
              <w:rPr>
                <w:rFonts w:ascii="方正黑体_GBK" w:hAnsi="方正黑体_GBK" w:eastAsia="方正黑体_GBK" w:cs="宋体"/>
                <w:b/>
                <w:sz w:val="22"/>
                <w:szCs w:val="22"/>
              </w:rPr>
              <w:t>E份额：固定管理费年化0.1%</w:t>
            </w:r>
          </w:p>
          <w:p w14:paraId="0171ACED">
            <w:pPr>
              <w:spacing w:line="240" w:lineRule="auto"/>
              <w:rPr>
                <w:sz w:val="28"/>
                <w:szCs w:val="28"/>
              </w:rPr>
            </w:pPr>
            <w:r>
              <w:rPr>
                <w:rFonts w:ascii="方正黑体_GBK" w:hAnsi="方正黑体_GBK" w:eastAsia="方正黑体_GBK" w:cs="宋体"/>
                <w:b/>
                <w:sz w:val="22"/>
                <w:szCs w:val="22"/>
              </w:rPr>
              <w:t>J份额：固定管理费年化0.15%</w:t>
            </w:r>
          </w:p>
          <w:p w14:paraId="606C071D">
            <w:pPr>
              <w:spacing w:line="240" w:lineRule="auto"/>
              <w:rPr>
                <w:sz w:val="28"/>
                <w:szCs w:val="28"/>
              </w:rPr>
            </w:pPr>
            <w:r>
              <w:rPr>
                <w:rFonts w:ascii="方正黑体_GBK" w:hAnsi="方正黑体_GBK" w:eastAsia="方正黑体_GBK" w:cs="宋体"/>
                <w:b/>
                <w:sz w:val="22"/>
                <w:szCs w:val="22"/>
              </w:rPr>
              <w:t>K份额：固定管理费年化0.05%</w:t>
            </w:r>
          </w:p>
          <w:p w14:paraId="0A8167CD">
            <w:pPr>
              <w:spacing w:line="240" w:lineRule="auto"/>
              <w:rPr>
                <w:sz w:val="28"/>
                <w:szCs w:val="28"/>
              </w:rPr>
            </w:pPr>
            <w:r>
              <w:rPr>
                <w:rFonts w:ascii="方正黑体_GBK" w:hAnsi="方正黑体_GBK" w:eastAsia="方正黑体_GBK" w:cs="宋体"/>
                <w:b/>
                <w:sz w:val="22"/>
                <w:szCs w:val="22"/>
              </w:rPr>
              <w:t>L份额：固定管理费年化0.05%</w:t>
            </w:r>
          </w:p>
          <w:p w14:paraId="1936602D">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7EBC94CF">
            <w:pPr>
              <w:spacing w:line="240" w:lineRule="auto"/>
              <w:rPr>
                <w:sz w:val="28"/>
                <w:szCs w:val="28"/>
              </w:rPr>
            </w:pPr>
            <w:r>
              <w:rPr>
                <w:rFonts w:ascii="方正黑体_GBK" w:hAnsi="方正黑体_GBK" w:eastAsia="方正黑体_GBK" w:cs="宋体"/>
                <w:b/>
                <w:sz w:val="22"/>
                <w:szCs w:val="22"/>
              </w:rPr>
              <w:t>托管费：</w:t>
            </w:r>
          </w:p>
          <w:p w14:paraId="35487D34">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005E356B">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75CB4D28">
            <w:pPr>
              <w:spacing w:line="240" w:lineRule="auto"/>
              <w:rPr>
                <w:sz w:val="28"/>
                <w:szCs w:val="28"/>
              </w:rPr>
            </w:pPr>
            <w:r>
              <w:rPr>
                <w:rFonts w:ascii="方正黑体_GBK" w:hAnsi="方正黑体_GBK" w:eastAsia="方正黑体_GBK" w:cs="宋体"/>
                <w:b/>
                <w:sz w:val="22"/>
                <w:szCs w:val="22"/>
              </w:rPr>
              <w:t>业绩报酬：</w:t>
            </w:r>
          </w:p>
          <w:p w14:paraId="0109BC95">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A份额：到期兑付时，当期产品投资的实际资产组合收益（扣除销售费、固定管理费、托管费等相关费用）超过1.5%（年化，即产品该份额对应的业绩报酬计提基准）时，超过部分管理人将按60%收取业绩报酬。</w:t>
            </w:r>
          </w:p>
          <w:p w14:paraId="4D012C7B">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B份额：到期兑付时，当期产品投资的实际资产组合收益（扣除销售费、固定管理费、托管费等相关费用）超过1.6%（年化，即产品该份额对应的业绩报酬计提基准）时，超过部分管理人将按60%收取业绩报酬。</w:t>
            </w:r>
          </w:p>
          <w:p w14:paraId="0CA86873">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C份额：到期兑付时，当期产品投资的实际资产组合收益（扣除销售费、固定管理费、托管费等相关费用）超过1.7%（年化，即产品该份额对应的业绩报酬计提基准）时，超过部分管理人将按60%收取业绩报酬。</w:t>
            </w:r>
          </w:p>
          <w:p w14:paraId="5415A50E">
            <w:pPr>
              <w:spacing w:line="240" w:lineRule="auto"/>
              <w:rPr>
                <w:sz w:val="28"/>
                <w:szCs w:val="28"/>
              </w:rPr>
            </w:pPr>
            <w:r>
              <w:rPr>
                <w:rFonts w:ascii="方正黑体_GBK" w:hAnsi="方正黑体_GBK" w:eastAsia="方正黑体_GBK" w:cs="宋体"/>
                <w:b/>
                <w:sz w:val="22"/>
                <w:szCs w:val="22"/>
              </w:rPr>
              <w:t>E份额：到期兑付时，当期产品投资的实际资产组合收益（扣除销售费、固定管理费、托管费等相关费用）超过1.65%（年化，即产品该份额对应的业绩报酬计提基准）时，超过部分管理人将按60%收取业绩报酬。</w:t>
            </w:r>
          </w:p>
          <w:p w14:paraId="111676A2">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J份额：到期兑付时，当期产品投资的实际资产组合收益（扣除销售费、固定管理费、托管费等相关费用）超过1.5%（年化，即产品该份额对应的业绩报酬计提基准）时，超过部分管理人将按60%收取业绩报酬。</w:t>
            </w:r>
          </w:p>
          <w:p w14:paraId="5697D840">
            <w:pPr>
              <w:spacing w:line="240" w:lineRule="auto"/>
              <w:rPr>
                <w:sz w:val="28"/>
                <w:szCs w:val="28"/>
              </w:rPr>
            </w:pPr>
            <w:r>
              <w:rPr>
                <w:rFonts w:ascii="方正黑体_GBK" w:hAnsi="方正黑体_GBK" w:eastAsia="方正黑体_GBK" w:cs="宋体"/>
                <w:b/>
                <w:sz w:val="22"/>
                <w:szCs w:val="22"/>
              </w:rPr>
              <w:t>K份额：到期兑付时，当期产品投资的实际资产组合收益（扣除销售费、固定管理费、托管费等相关费用）超过1.75%（年化，即产品该份额对应的业绩报酬计提基准）时，超过部分管理人将按60%收取业绩报酬。</w:t>
            </w:r>
          </w:p>
          <w:p w14:paraId="47A98FBF">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L份额：到期兑付时，当期产品投资的实际资产组合收益（扣除销售费、固定管理费、托管费等相关费用）超过1.75%（年化，即产品该份额对应的业绩报酬计提基准）时，超过部分管理人将按60%收取业绩报酬。</w:t>
            </w:r>
          </w:p>
          <w:p w14:paraId="6AAD4FC4">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29598738">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6AF4A8A9">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77FCDEA5">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7F16E5F7">
            <w:pPr>
              <w:spacing w:line="240" w:lineRule="auto"/>
              <w:rPr>
                <w:sz w:val="28"/>
                <w:szCs w:val="28"/>
              </w:rPr>
            </w:pPr>
            <w:r>
              <w:rPr>
                <w:rFonts w:ascii="方正黑体_GBK" w:hAnsi="方正黑体_GBK" w:eastAsia="方正黑体_GBK" w:cs="宋体"/>
                <w:b/>
                <w:sz w:val="22"/>
                <w:szCs w:val="22"/>
              </w:rPr>
              <w:t>计算本区间业绩报酬的公式如下：</w:t>
            </w:r>
          </w:p>
          <w:p w14:paraId="3983AF14">
            <w:pPr>
              <w:spacing w:line="240" w:lineRule="auto"/>
              <w:rPr>
                <w:sz w:val="28"/>
                <w:szCs w:val="28"/>
              </w:rPr>
            </w:pPr>
            <w:r>
              <w:rPr>
                <w:rFonts w:ascii="方正黑体_GBK" w:hAnsi="方正黑体_GBK" w:eastAsia="方正黑体_GBK" w:cs="宋体"/>
                <w:b/>
                <w:sz w:val="22"/>
                <w:szCs w:val="22"/>
              </w:rPr>
              <w:t>A={B-C*D*(1+E*F/365)}*G。</w:t>
            </w:r>
          </w:p>
          <w:p w14:paraId="0469799F">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24036FF7">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C5FC3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4551E657">
            <w:pPr>
              <w:spacing w:line="240" w:lineRule="auto"/>
              <w:rPr>
                <w:sz w:val="28"/>
                <w:szCs w:val="28"/>
              </w:rPr>
            </w:pPr>
            <w:r>
              <w:rPr>
                <w:rFonts w:ascii="方正黑体_GBK" w:hAnsi="方正黑体_GBK" w:eastAsia="方正黑体_GBK" w:cs="宋体"/>
                <w:sz w:val="22"/>
                <w:szCs w:val="22"/>
              </w:rPr>
              <w:t>具体详见本理财产品风险揭示书。</w:t>
            </w:r>
          </w:p>
        </w:tc>
      </w:tr>
      <w:tr w14:paraId="1FC008ED">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4CAD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9FB4B48">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4786BA75">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1B87CC43">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5B74E29F">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34A6B3E3">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1B4B9412">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7D10B5C9">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2F202D82">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0166104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6146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25799C7F">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乌鲁木齐银行股份有限公司、河北银行股份有限公司、郑州银行股份有限公司、江苏姜堰农村商业银行股份有限公司、山西银行股份有限公司、江苏如东农村商业银行股份有限公司、北京银行股份有限公司、哈密市商业银行股份有限公司、江苏赣榆农村商业银行股份有限公司、江苏盱眙农村商业银行股份有限公司、东营银行股份有限公司、江苏沛县农村商业银行股份有限公司、甘肃银行股份有限公司、浙江民泰商业银行股份有限公司、江苏仪征农村商业银行股份有限公司、金华银行股份有限公司、昆山鹿城村镇银行股份有限公司、吉林银行股份有限公司、连云港东方农村商业银行股份有限公司、德州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江苏昆山农村商业银行股份有限公司、广州农村商业银行股份有限公司、江苏泰州农村商业银行股份有限公司、朝阳银行股份有限公司。</w:t>
            </w:r>
          </w:p>
          <w:p w14:paraId="68B5B9BC">
            <w:pPr>
              <w:spacing w:line="240" w:lineRule="auto"/>
              <w:jc w:val="left"/>
              <w:rPr>
                <w:sz w:val="28"/>
                <w:szCs w:val="28"/>
              </w:rPr>
            </w:pPr>
            <w:r>
              <w:rPr>
                <w:rFonts w:ascii="方正黑体_GBK" w:hAnsi="方正黑体_GBK" w:eastAsia="方正黑体_GBK" w:cs="宋体"/>
                <w:sz w:val="22"/>
                <w:szCs w:val="22"/>
              </w:rPr>
              <w:t>销售机构主要职责如下：</w:t>
            </w:r>
          </w:p>
          <w:p w14:paraId="12C5878A">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ED530C9">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2FB73535">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10ADFFB0">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30FF9227">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137CA9BC">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69443501">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CF30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32D3271">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4D0B8855">
            <w:pPr>
              <w:spacing w:line="240" w:lineRule="auto"/>
              <w:rPr>
                <w:sz w:val="28"/>
                <w:szCs w:val="28"/>
              </w:rPr>
            </w:pPr>
            <w:r>
              <w:rPr>
                <w:rFonts w:ascii="方正黑体_GBK" w:hAnsi="方正黑体_GBK" w:eastAsia="方正黑体_GBK" w:cs="宋体"/>
                <w:sz w:val="22"/>
                <w:szCs w:val="22"/>
              </w:rPr>
              <w:t>1.安全保管理财产品财产；</w:t>
            </w:r>
          </w:p>
          <w:p w14:paraId="69C5001B">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04220E3A">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7E95908D">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0F6A47F9">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5C763795">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76CA7B8B">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57084AD7">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7DF3928F">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18BCF167">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ED06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5E3684EF">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39845A59">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7CFD849B">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粮信托有限责任公司、中信信托有限责任公司、鑫元基金管理有限公司。</w:t>
            </w:r>
          </w:p>
          <w:p w14:paraId="27ED4E81">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16805712">
            <w:pPr>
              <w:spacing w:line="240" w:lineRule="auto"/>
              <w:rPr>
                <w:sz w:val="28"/>
                <w:szCs w:val="28"/>
              </w:rPr>
            </w:pPr>
            <w:r>
              <w:rPr>
                <w:rFonts w:ascii="方正黑体_GBK" w:hAnsi="方正黑体_GBK" w:eastAsia="方正黑体_GBK" w:cs="宋体"/>
                <w:sz w:val="22"/>
                <w:szCs w:val="22"/>
              </w:rPr>
              <w:t>上述投资合作机构简介：</w:t>
            </w:r>
          </w:p>
          <w:p w14:paraId="17E33F97">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13277F8E">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539F4362">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3CBFCFD1">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3305AB32">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646ECBEF">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6849E7A6">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23352B5A">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4A3F7FA0">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193C7682">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4BA30FA1">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43D538D9">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7A1EB067">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7A870E79">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226DA29D">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2600897D">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75EC7AD6">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751C3930">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1CFB768">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790ED910">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591A7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03372AD3">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397D00BA">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13C1BB71">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2FE16971">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7704426E">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EB503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5B949511">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15101A6">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21984E3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306069C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559D1A5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38BFA7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4993FEAD">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16F7F36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7F43975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04D124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1EFA466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602F062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501C187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0DE55E8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4F51F47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36A4D68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39F13A5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6271F7E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1A518F8D">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06133D6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3185315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0A713E3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381118C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3A74BC6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1039271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00CCE08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158D655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08F827E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5D0A466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2C47C9F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79A7E24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3B6EDDC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6E26D2B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15E36B3F">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南银理财珠联璧合鑫逸稳三个月134期封闭式公募人民币理财产品</w:t>
      </w:r>
      <w:r>
        <w:rPr>
          <w:rFonts w:hint="eastAsia" w:ascii="方正黑体_GBK" w:hAnsi="方正黑体_GBK" w:eastAsia="方正黑体_GBK"/>
          <w:vanish w:val="0"/>
          <w:color w:val="3D3D3D"/>
          <w:kern w:val="0"/>
          <w:sz w:val="20"/>
          <w:szCs w:val="20"/>
        </w:rPr>
        <w:t>。</w:t>
      </w:r>
    </w:p>
    <w:p w14:paraId="290237D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09387BB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52CDAF6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507A596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12BB53C9">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210D504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5236BA2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6F38DFC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151E850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57C4376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0DA4C89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07CE51A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3E7F9C2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13BA21E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33D559F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53C2235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2904C98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00CFCA9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4F168918">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0807FB63">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1BFE5FA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1A2C0E2C">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21DCD202">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73629FEE">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462ACCA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4D9C4926">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6BD0CF6D">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7738959B">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7FC9723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54C3949D">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13BF9FC1">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3FA3C852">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0FE9678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44F4DABF">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5C5FD78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6B1BA08F">
      <w:pPr>
        <w:spacing w:line="240" w:lineRule="auto"/>
        <w:ind w:firstLine="300"/>
        <w:jc w:val="both"/>
        <w:rPr>
          <w:sz w:val="28"/>
          <w:szCs w:val="28"/>
        </w:rPr>
      </w:pPr>
      <w:r>
        <w:rPr>
          <w:rFonts w:ascii="方正黑体_GBK" w:hAnsi="方正黑体_GBK" w:eastAsia="方正黑体_GBK" w:cs="宋体"/>
          <w:sz w:val="20"/>
          <w:szCs w:val="24"/>
        </w:rPr>
        <w:t>（一）估值日</w:t>
      </w:r>
    </w:p>
    <w:p w14:paraId="6F81E8A7">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36F52ADB">
      <w:pPr>
        <w:spacing w:line="240" w:lineRule="auto"/>
        <w:ind w:firstLine="300"/>
        <w:jc w:val="both"/>
        <w:rPr>
          <w:sz w:val="28"/>
          <w:szCs w:val="28"/>
        </w:rPr>
      </w:pPr>
      <w:r>
        <w:rPr>
          <w:rFonts w:ascii="方正黑体_GBK" w:hAnsi="方正黑体_GBK" w:eastAsia="方正黑体_GBK" w:cs="宋体"/>
          <w:sz w:val="20"/>
          <w:szCs w:val="24"/>
        </w:rPr>
        <w:t>（二）估值对象</w:t>
      </w:r>
    </w:p>
    <w:p w14:paraId="00D3DF92">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05D2E8E7">
      <w:pPr>
        <w:spacing w:line="240" w:lineRule="auto"/>
        <w:ind w:firstLine="300"/>
        <w:jc w:val="both"/>
        <w:rPr>
          <w:sz w:val="28"/>
          <w:szCs w:val="28"/>
        </w:rPr>
      </w:pPr>
      <w:r>
        <w:rPr>
          <w:rFonts w:ascii="方正黑体_GBK" w:hAnsi="方正黑体_GBK" w:eastAsia="方正黑体_GBK" w:cs="宋体"/>
          <w:sz w:val="20"/>
          <w:szCs w:val="24"/>
        </w:rPr>
        <w:t>（三）估值目的</w:t>
      </w:r>
    </w:p>
    <w:p w14:paraId="5C074F29">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3B997820">
      <w:pPr>
        <w:spacing w:line="240" w:lineRule="auto"/>
        <w:ind w:firstLine="300"/>
        <w:jc w:val="both"/>
        <w:rPr>
          <w:sz w:val="28"/>
          <w:szCs w:val="28"/>
        </w:rPr>
      </w:pPr>
      <w:r>
        <w:rPr>
          <w:rFonts w:ascii="方正黑体_GBK" w:hAnsi="方正黑体_GBK" w:eastAsia="方正黑体_GBK" w:cs="宋体"/>
          <w:sz w:val="20"/>
          <w:szCs w:val="24"/>
        </w:rPr>
        <w:t>（四）估值原则</w:t>
      </w:r>
    </w:p>
    <w:p w14:paraId="05A534D0">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2ECFD102">
      <w:pPr>
        <w:spacing w:line="240" w:lineRule="auto"/>
        <w:ind w:firstLine="300"/>
        <w:jc w:val="both"/>
        <w:rPr>
          <w:sz w:val="28"/>
          <w:szCs w:val="28"/>
        </w:rPr>
      </w:pPr>
      <w:r>
        <w:rPr>
          <w:rFonts w:ascii="方正黑体_GBK" w:hAnsi="方正黑体_GBK" w:eastAsia="方正黑体_GBK" w:cs="宋体"/>
          <w:sz w:val="20"/>
          <w:szCs w:val="24"/>
        </w:rPr>
        <w:t>（五）估值方法</w:t>
      </w:r>
    </w:p>
    <w:p w14:paraId="4256E46A">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46B02A25">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22D018C0">
      <w:pPr>
        <w:spacing w:line="240" w:lineRule="auto"/>
        <w:ind w:firstLine="440"/>
        <w:rPr>
          <w:sz w:val="28"/>
          <w:szCs w:val="28"/>
        </w:rPr>
      </w:pPr>
      <w:r>
        <w:rPr>
          <w:rFonts w:ascii="方正黑体_GBK" w:hAnsi="方正黑体_GBK" w:eastAsia="方正黑体_GBK" w:cs="宋体"/>
          <w:sz w:val="22"/>
          <w:szCs w:val="24"/>
        </w:rPr>
        <w:t>以本金列示，逐日计提利息。</w:t>
      </w:r>
    </w:p>
    <w:p w14:paraId="116FAD12">
      <w:pPr>
        <w:spacing w:line="240" w:lineRule="auto"/>
        <w:ind w:firstLine="440"/>
        <w:rPr>
          <w:sz w:val="28"/>
          <w:szCs w:val="28"/>
        </w:rPr>
      </w:pPr>
      <w:r>
        <w:rPr>
          <w:rFonts w:ascii="方正黑体_GBK" w:hAnsi="方正黑体_GBK" w:eastAsia="方正黑体_GBK" w:cs="宋体"/>
          <w:sz w:val="22"/>
          <w:szCs w:val="24"/>
        </w:rPr>
        <w:t>2.债券类资产</w:t>
      </w:r>
    </w:p>
    <w:p w14:paraId="2815A16F">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585E703C">
      <w:pPr>
        <w:spacing w:line="240" w:lineRule="auto"/>
        <w:ind w:firstLine="440"/>
        <w:rPr>
          <w:sz w:val="28"/>
          <w:szCs w:val="28"/>
        </w:rPr>
      </w:pPr>
      <w:r>
        <w:rPr>
          <w:rFonts w:ascii="方正黑体_GBK" w:hAnsi="方正黑体_GBK" w:eastAsia="方正黑体_GBK" w:cs="宋体"/>
          <w:sz w:val="22"/>
          <w:szCs w:val="24"/>
        </w:rPr>
        <w:t>3.非标准化债权类资产</w:t>
      </w:r>
    </w:p>
    <w:p w14:paraId="4DE4B16A">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38D78FBB">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1FEF0BD6">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0E80655D">
      <w:pPr>
        <w:spacing w:line="240" w:lineRule="auto"/>
        <w:ind w:firstLine="440"/>
        <w:rPr>
          <w:sz w:val="28"/>
          <w:szCs w:val="28"/>
        </w:rPr>
      </w:pPr>
      <w:r>
        <w:rPr>
          <w:rFonts w:ascii="方正黑体_GBK" w:hAnsi="方正黑体_GBK" w:eastAsia="方正黑体_GBK" w:cs="宋体"/>
          <w:sz w:val="22"/>
          <w:szCs w:val="24"/>
        </w:rPr>
        <w:t>5.股权类及其他资产</w:t>
      </w:r>
    </w:p>
    <w:p w14:paraId="22D9A57E">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00D8625A">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207411C7">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2F6B9A31">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309B6A7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350F509F">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76F76AD5">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69D61D07">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2D0CED9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72DF3A5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2A7CF72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0E8652F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6527DF2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40B7CB0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4882B14A">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53604BC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140B04B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6F986BF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41EBA832">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04730D5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69D7D10E">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2E8C9CE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2383F6A1">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0F02EE0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461A993E">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1E3B9C3B">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2B8F90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6AA020F3">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0AEC54A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597169A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65F6D42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4D019EE9">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219D2CD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1F8ECBF8">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7B1AAEE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410A962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5040BCF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730B38E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19050A0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0A36A12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1FB722AF">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316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0C24A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0C24A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1C0A">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7E82"/>
    <w:multiLevelType w:val="multilevel"/>
    <w:tmpl w:val="F7F67E82"/>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1">
    <w:nsid w:val="FFDE5A52"/>
    <w:multiLevelType w:val="multilevel"/>
    <w:tmpl w:val="FFDE5A52"/>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2">
    <w:nsid w:val="33DF597C"/>
    <w:multiLevelType w:val="multilevel"/>
    <w:tmpl w:val="33DF597C"/>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3">
    <w:nsid w:val="61F2A5CA"/>
    <w:multiLevelType w:val="multilevel"/>
    <w:tmpl w:val="61F2A5CA"/>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F5DB94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8b02e77e"/>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6dd059e5"/>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8f94c050"/>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12b1d923"/>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9c439d7a"/>
    <w:uiPriority w:val="0"/>
  </w:style>
  <w:style w:type="paragraph" w:customStyle="1" w:styleId="20">
    <w:name w:val="toc 1e9c19fea"/>
    <w:basedOn w:val="15"/>
    <w:next w:val="1"/>
    <w:autoRedefine/>
    <w:uiPriority w:val="0"/>
  </w:style>
  <w:style w:type="paragraph" w:customStyle="1" w:styleId="21">
    <w:name w:val="toc 2545a9784"/>
    <w:basedOn w:val="15"/>
    <w:next w:val="1"/>
    <w:autoRedefine/>
    <w:uiPriority w:val="0"/>
    <w:pPr>
      <w:ind w:left="420"/>
    </w:pPr>
  </w:style>
  <w:style w:type="paragraph" w:customStyle="1" w:styleId="22">
    <w:name w:val="toc 3cad1c709"/>
    <w:basedOn w:val="15"/>
    <w:next w:val="1"/>
    <w:autoRedefine/>
    <w:uiPriority w:val="0"/>
    <w:pPr>
      <w:ind w:left="840"/>
    </w:pPr>
  </w:style>
  <w:style w:type="paragraph" w:customStyle="1" w:styleId="23">
    <w:name w:val="toc 497d290c9"/>
    <w:basedOn w:val="15"/>
    <w:next w:val="1"/>
    <w:autoRedefine/>
    <w:uiPriority w:val="0"/>
    <w:pPr>
      <w:ind w:left="1260"/>
    </w:pPr>
  </w:style>
  <w:style w:type="paragraph" w:customStyle="1" w:styleId="24">
    <w:name w:val="toc 57b9a3cbc"/>
    <w:basedOn w:val="15"/>
    <w:next w:val="1"/>
    <w:autoRedefine/>
    <w:uiPriority w:val="0"/>
    <w:pPr>
      <w:ind w:left="1680"/>
    </w:pPr>
  </w:style>
  <w:style w:type="paragraph" w:customStyle="1" w:styleId="25">
    <w:name w:val="headere9a77c5f"/>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1a14e3c8"/>
    <w:basedOn w:val="15"/>
    <w:uiPriority w:val="0"/>
    <w:pPr>
      <w:tabs>
        <w:tab w:val="center" w:pos="4153"/>
        <w:tab w:val="right" w:pos="8307"/>
      </w:tabs>
      <w:adjustRightInd/>
      <w:snapToGrid w:val="0"/>
      <w:contextualSpacing w:val="0"/>
      <w:jc w:val="left"/>
    </w:pPr>
    <w:rPr>
      <w:sz w:val="18"/>
    </w:rPr>
  </w:style>
  <w:style w:type="character" w:customStyle="1" w:styleId="27">
    <w:name w:val="Strong4687eebb"/>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4159ade2"/>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290ad3fd"/>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77b5179e"/>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8af3d950"/>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c7a894c6"/>
    <w:uiPriority w:val="0"/>
  </w:style>
  <w:style w:type="paragraph" w:customStyle="1" w:styleId="34">
    <w:name w:val="Normal Indente42f9bd8"/>
    <w:basedOn w:val="29"/>
    <w:uiPriority w:val="0"/>
    <w:pPr>
      <w:ind w:firstLine="200" w:firstLineChars="200"/>
    </w:pPr>
  </w:style>
  <w:style w:type="paragraph" w:customStyle="1" w:styleId="35">
    <w:name w:val="toc 50183eb05"/>
    <w:basedOn w:val="29"/>
    <w:next w:val="1"/>
    <w:uiPriority w:val="0"/>
    <w:pPr>
      <w:ind w:left="1680"/>
    </w:pPr>
  </w:style>
  <w:style w:type="paragraph" w:customStyle="1" w:styleId="36">
    <w:name w:val="toc 341e7a75e"/>
    <w:basedOn w:val="29"/>
    <w:next w:val="1"/>
    <w:uiPriority w:val="0"/>
    <w:pPr>
      <w:ind w:left="840"/>
    </w:pPr>
  </w:style>
  <w:style w:type="paragraph" w:customStyle="1" w:styleId="37">
    <w:name w:val="footer7ab3fa46"/>
    <w:basedOn w:val="29"/>
    <w:uiPriority w:val="0"/>
    <w:pPr>
      <w:tabs>
        <w:tab w:val="center" w:pos="4153"/>
        <w:tab w:val="right" w:pos="8307"/>
      </w:tabs>
      <w:adjustRightInd/>
      <w:snapToGrid w:val="0"/>
      <w:contextualSpacing w:val="0"/>
      <w:jc w:val="left"/>
    </w:pPr>
    <w:rPr>
      <w:sz w:val="18"/>
    </w:rPr>
  </w:style>
  <w:style w:type="paragraph" w:customStyle="1" w:styleId="38">
    <w:name w:val="header2bb8d38e"/>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7fccbd78"/>
    <w:basedOn w:val="29"/>
    <w:next w:val="1"/>
    <w:uiPriority w:val="0"/>
  </w:style>
  <w:style w:type="paragraph" w:customStyle="1" w:styleId="40">
    <w:name w:val="toc 473afc90f"/>
    <w:basedOn w:val="29"/>
    <w:next w:val="1"/>
    <w:uiPriority w:val="0"/>
    <w:pPr>
      <w:ind w:left="1260"/>
    </w:pPr>
  </w:style>
  <w:style w:type="paragraph" w:customStyle="1" w:styleId="41">
    <w:name w:val="toc 2e7a4d2a6"/>
    <w:basedOn w:val="29"/>
    <w:next w:val="1"/>
    <w:uiPriority w:val="0"/>
    <w:pPr>
      <w:ind w:left="420"/>
    </w:pPr>
  </w:style>
  <w:style w:type="paragraph" w:customStyle="1" w:styleId="42">
    <w:name w:val="Normal (Web)862525d5"/>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1ec8ec531ec8ec5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1f7677841f767784"/>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53b1f64053b1f640"/>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b4651109b4651109"/>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3f9ba3e73f9ba3e7"/>
    <w:uiPriority w:val="0"/>
  </w:style>
  <w:style w:type="paragraph" w:customStyle="1" w:styleId="49">
    <w:name w:val="引文目录1645dfd87645dfd87"/>
    <w:basedOn w:val="44"/>
    <w:next w:val="1"/>
    <w:uiPriority w:val="0"/>
    <w:pPr>
      <w:ind w:left="200" w:leftChars="200"/>
    </w:pPr>
  </w:style>
  <w:style w:type="paragraph" w:customStyle="1" w:styleId="50">
    <w:name w:val="toc 5b13c3e45b13c3e45"/>
    <w:basedOn w:val="44"/>
    <w:next w:val="1"/>
    <w:uiPriority w:val="0"/>
    <w:pPr>
      <w:ind w:left="1680"/>
    </w:pPr>
  </w:style>
  <w:style w:type="paragraph" w:customStyle="1" w:styleId="51">
    <w:name w:val="toc 3fc8bc1a8fc8bc1a8"/>
    <w:basedOn w:val="44"/>
    <w:next w:val="1"/>
    <w:uiPriority w:val="0"/>
    <w:pPr>
      <w:ind w:left="840"/>
    </w:pPr>
  </w:style>
  <w:style w:type="paragraph" w:customStyle="1" w:styleId="52">
    <w:name w:val="footerc487832ac487832a"/>
    <w:basedOn w:val="44"/>
    <w:uiPriority w:val="0"/>
    <w:pPr>
      <w:tabs>
        <w:tab w:val="center" w:pos="4153"/>
        <w:tab w:val="right" w:pos="8307"/>
      </w:tabs>
      <w:adjustRightInd/>
      <w:snapToGrid w:val="0"/>
      <w:contextualSpacing w:val="0"/>
      <w:jc w:val="left"/>
    </w:pPr>
    <w:rPr>
      <w:sz w:val="18"/>
    </w:rPr>
  </w:style>
  <w:style w:type="paragraph" w:customStyle="1" w:styleId="53">
    <w:name w:val="headerbe52d7b9be52d7b9"/>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29763b9a29763b9a"/>
    <w:basedOn w:val="44"/>
    <w:next w:val="1"/>
    <w:uiPriority w:val="0"/>
  </w:style>
  <w:style w:type="paragraph" w:customStyle="1" w:styleId="55">
    <w:name w:val="toc 4a55a6fafa55a6faf"/>
    <w:basedOn w:val="44"/>
    <w:next w:val="1"/>
    <w:uiPriority w:val="0"/>
    <w:pPr>
      <w:ind w:left="1260"/>
    </w:pPr>
  </w:style>
  <w:style w:type="paragraph" w:customStyle="1" w:styleId="56">
    <w:name w:val="toc 2fa038809fa038809"/>
    <w:basedOn w:val="44"/>
    <w:next w:val="1"/>
    <w:uiPriority w:val="0"/>
    <w:pPr>
      <w:ind w:left="420"/>
    </w:pPr>
  </w:style>
  <w:style w:type="paragraph" w:customStyle="1" w:styleId="57">
    <w:name w:val="列出段落11320ab341320ab34"/>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38</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2026-05-09T15:43:20Z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